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spacing w:line="360" w:lineRule="auto"/>
        <w:rPr>
          <w:rFonts w:ascii="Arial" w:cs="Arial" w:eastAsia="Arial" w:hAnsi="Arial"/>
        </w:rPr>
      </w:pPr>
      <w:r w:rsidDel="00000000" w:rsidR="00000000" w:rsidRPr="00000000">
        <w:rPr>
          <w:rFonts w:ascii="Arial" w:cs="Arial" w:eastAsia="Arial" w:hAnsi="Arial"/>
          <w:rtl w:val="0"/>
        </w:rPr>
        <w:t xml:space="preserve">BEGOÑA CALLEJÓN (Almería, 1976)</w:t>
      </w:r>
    </w:p>
    <w:p w:rsidR="00000000" w:rsidDel="00000000" w:rsidP="00000000" w:rsidRDefault="00000000" w:rsidRPr="00000000" w14:paraId="00000002">
      <w:pPr>
        <w:spacing w:line="360" w:lineRule="auto"/>
        <w:rPr>
          <w:rFonts w:ascii="Arial" w:cs="Arial" w:eastAsia="Arial" w:hAnsi="Arial"/>
        </w:rPr>
      </w:pPr>
      <w:r w:rsidDel="00000000" w:rsidR="00000000" w:rsidRPr="00000000">
        <w:rPr>
          <w:rtl w:val="0"/>
        </w:rPr>
      </w:r>
    </w:p>
    <w:p w:rsidR="00000000" w:rsidDel="00000000" w:rsidP="00000000" w:rsidRDefault="00000000" w:rsidRPr="00000000" w14:paraId="00000003">
      <w:pPr>
        <w:spacing w:line="360" w:lineRule="auto"/>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Reside en la provincia de Granada. Licenciada en Psicología. Poeta, narradora, ensayista y autora de cuentos infantiles. Algunos de sus poemas han sido traducidos al griego, inglés, rumano, esloveno y sueco. Ha sido editora de Fin de Viaje Ediciones y ha impartido talleres literarios en distintas escuelas a lo largo de más de diez años, entre ellas la Escuela de Escritores de Madrid. Recibe la Beca Millenium en 2010 para la creación artística en la residencia Alcalá del Júcar (Albacete). Recibe la beca literaria de la UNESCO en 2018 para Óbidos (Portugal).</w:t>
      </w:r>
    </w:p>
    <w:p w:rsidR="00000000" w:rsidDel="00000000" w:rsidP="00000000" w:rsidRDefault="00000000" w:rsidRPr="00000000" w14:paraId="00000004">
      <w:pPr>
        <w:spacing w:line="360" w:lineRule="auto"/>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Ha publicado los libros de poesía </w:t>
      </w:r>
      <w:r w:rsidDel="00000000" w:rsidR="00000000" w:rsidRPr="00000000">
        <w:rPr>
          <w:rFonts w:ascii="Arial" w:cs="Arial" w:eastAsia="Arial" w:hAnsi="Arial"/>
          <w:i w:val="1"/>
          <w:sz w:val="20"/>
          <w:szCs w:val="20"/>
          <w:rtl w:val="0"/>
        </w:rPr>
        <w:t xml:space="preserve">Suicidio de libélulas</w:t>
      </w:r>
      <w:r w:rsidDel="00000000" w:rsidR="00000000" w:rsidRPr="00000000">
        <w:rPr>
          <w:rFonts w:ascii="Arial" w:cs="Arial" w:eastAsia="Arial" w:hAnsi="Arial"/>
          <w:sz w:val="20"/>
          <w:szCs w:val="20"/>
          <w:rtl w:val="0"/>
        </w:rPr>
        <w:t xml:space="preserve"> (Celya, 2006), </w:t>
      </w:r>
      <w:r w:rsidDel="00000000" w:rsidR="00000000" w:rsidRPr="00000000">
        <w:rPr>
          <w:rFonts w:ascii="Arial" w:cs="Arial" w:eastAsia="Arial" w:hAnsi="Arial"/>
          <w:i w:val="1"/>
          <w:sz w:val="20"/>
          <w:szCs w:val="20"/>
          <w:rtl w:val="0"/>
        </w:rPr>
        <w:t xml:space="preserve">Extraña claridad </w:t>
      </w:r>
      <w:r w:rsidDel="00000000" w:rsidR="00000000" w:rsidRPr="00000000">
        <w:rPr>
          <w:rFonts w:ascii="Arial" w:cs="Arial" w:eastAsia="Arial" w:hAnsi="Arial"/>
          <w:sz w:val="20"/>
          <w:szCs w:val="20"/>
          <w:rtl w:val="0"/>
        </w:rPr>
        <w:t xml:space="preserve">(Devenir, 2007), </w:t>
      </w:r>
      <w:r w:rsidDel="00000000" w:rsidR="00000000" w:rsidRPr="00000000">
        <w:rPr>
          <w:rFonts w:ascii="Arial" w:cs="Arial" w:eastAsia="Arial" w:hAnsi="Arial"/>
          <w:i w:val="1"/>
          <w:sz w:val="20"/>
          <w:szCs w:val="20"/>
          <w:rtl w:val="0"/>
        </w:rPr>
        <w:t xml:space="preserve">Palabras para un cuerpo de ceniza</w:t>
      </w:r>
      <w:r w:rsidDel="00000000" w:rsidR="00000000" w:rsidRPr="00000000">
        <w:rPr>
          <w:rFonts w:ascii="Arial" w:cs="Arial" w:eastAsia="Arial" w:hAnsi="Arial"/>
          <w:sz w:val="20"/>
          <w:szCs w:val="20"/>
          <w:rtl w:val="0"/>
        </w:rPr>
        <w:t xml:space="preserve"> con el 1º Premio Frances Bru 2007 (Ayuntamiento Canals, Valencia, 2007), </w:t>
      </w:r>
      <w:r w:rsidDel="00000000" w:rsidR="00000000" w:rsidRPr="00000000">
        <w:rPr>
          <w:rFonts w:ascii="Arial" w:cs="Arial" w:eastAsia="Arial" w:hAnsi="Arial"/>
          <w:i w:val="1"/>
          <w:sz w:val="20"/>
          <w:szCs w:val="20"/>
          <w:rtl w:val="0"/>
        </w:rPr>
        <w:t xml:space="preserve">Las putas toman sushi</w:t>
      </w:r>
      <w:r w:rsidDel="00000000" w:rsidR="00000000" w:rsidRPr="00000000">
        <w:rPr>
          <w:rFonts w:ascii="Arial" w:cs="Arial" w:eastAsia="Arial" w:hAnsi="Arial"/>
          <w:sz w:val="20"/>
          <w:szCs w:val="20"/>
          <w:rtl w:val="0"/>
        </w:rPr>
        <w:t xml:space="preserve"> (Alea Blanca, 2009), </w:t>
      </w:r>
      <w:r w:rsidDel="00000000" w:rsidR="00000000" w:rsidRPr="00000000">
        <w:rPr>
          <w:rFonts w:ascii="Arial" w:cs="Arial" w:eastAsia="Arial" w:hAnsi="Arial"/>
          <w:i w:val="1"/>
          <w:sz w:val="20"/>
          <w:szCs w:val="20"/>
          <w:rtl w:val="0"/>
        </w:rPr>
        <w:t xml:space="preserve">Cenicienta en sangre</w:t>
      </w:r>
      <w:r w:rsidDel="00000000" w:rsidR="00000000" w:rsidRPr="00000000">
        <w:rPr>
          <w:rFonts w:ascii="Arial" w:cs="Arial" w:eastAsia="Arial" w:hAnsi="Arial"/>
          <w:sz w:val="20"/>
          <w:szCs w:val="20"/>
          <w:rtl w:val="0"/>
        </w:rPr>
        <w:t xml:space="preserve"> (El gaviero ediciones, 2010), </w:t>
      </w:r>
      <w:r w:rsidDel="00000000" w:rsidR="00000000" w:rsidRPr="00000000">
        <w:rPr>
          <w:rFonts w:ascii="Arial" w:cs="Arial" w:eastAsia="Arial" w:hAnsi="Arial"/>
          <w:i w:val="1"/>
          <w:sz w:val="20"/>
          <w:szCs w:val="20"/>
          <w:rtl w:val="0"/>
        </w:rPr>
        <w:t xml:space="preserve">Locos de Altar</w:t>
      </w:r>
      <w:r w:rsidDel="00000000" w:rsidR="00000000" w:rsidRPr="00000000">
        <w:rPr>
          <w:rFonts w:ascii="Arial" w:cs="Arial" w:eastAsia="Arial" w:hAnsi="Arial"/>
          <w:sz w:val="20"/>
          <w:szCs w:val="20"/>
          <w:rtl w:val="0"/>
        </w:rPr>
        <w:t xml:space="preserve">, junto a Leopoldo María Panero y Rubén Martín (Alea Blanca, 2010), </w:t>
      </w:r>
      <w:r w:rsidDel="00000000" w:rsidR="00000000" w:rsidRPr="00000000">
        <w:rPr>
          <w:rFonts w:ascii="Arial" w:cs="Arial" w:eastAsia="Arial" w:hAnsi="Arial"/>
          <w:i w:val="1"/>
          <w:sz w:val="20"/>
          <w:szCs w:val="20"/>
          <w:rtl w:val="0"/>
        </w:rPr>
        <w:t xml:space="preserve">La camada feroz</w:t>
      </w:r>
      <w:r w:rsidDel="00000000" w:rsidR="00000000" w:rsidRPr="00000000">
        <w:rPr>
          <w:rFonts w:ascii="Arial" w:cs="Arial" w:eastAsia="Arial" w:hAnsi="Arial"/>
          <w:sz w:val="20"/>
          <w:szCs w:val="20"/>
          <w:rtl w:val="0"/>
        </w:rPr>
        <w:t xml:space="preserve"> (Amargord, 2012), </w:t>
      </w:r>
      <w:r w:rsidDel="00000000" w:rsidR="00000000" w:rsidRPr="00000000">
        <w:rPr>
          <w:rFonts w:ascii="Arial" w:cs="Arial" w:eastAsia="Arial" w:hAnsi="Arial"/>
          <w:i w:val="1"/>
          <w:sz w:val="20"/>
          <w:szCs w:val="20"/>
          <w:rtl w:val="0"/>
        </w:rPr>
        <w:t xml:space="preserve">Los pájaros dibujaban en mis ojos</w:t>
      </w:r>
      <w:r w:rsidDel="00000000" w:rsidR="00000000" w:rsidRPr="00000000">
        <w:rPr>
          <w:rFonts w:ascii="Arial" w:cs="Arial" w:eastAsia="Arial" w:hAnsi="Arial"/>
          <w:sz w:val="20"/>
          <w:szCs w:val="20"/>
          <w:rtl w:val="0"/>
        </w:rPr>
        <w:t xml:space="preserve"> (Huerga y Fierro, 2012), </w:t>
      </w:r>
      <w:r w:rsidDel="00000000" w:rsidR="00000000" w:rsidRPr="00000000">
        <w:rPr>
          <w:rFonts w:ascii="Arial" w:cs="Arial" w:eastAsia="Arial" w:hAnsi="Arial"/>
          <w:i w:val="1"/>
          <w:sz w:val="20"/>
          <w:szCs w:val="20"/>
          <w:rtl w:val="0"/>
        </w:rPr>
        <w:t xml:space="preserve">Cuando llegan las abejas</w:t>
      </w:r>
      <w:r w:rsidDel="00000000" w:rsidR="00000000" w:rsidRPr="00000000">
        <w:rPr>
          <w:rFonts w:ascii="Arial" w:cs="Arial" w:eastAsia="Arial" w:hAnsi="Arial"/>
          <w:sz w:val="20"/>
          <w:szCs w:val="20"/>
          <w:rtl w:val="0"/>
        </w:rPr>
        <w:t xml:space="preserve"> (Diputación de Cádiz, 2012), el relato ilustrado para adultos, </w:t>
      </w:r>
      <w:r w:rsidDel="00000000" w:rsidR="00000000" w:rsidRPr="00000000">
        <w:rPr>
          <w:rFonts w:ascii="Arial" w:cs="Arial" w:eastAsia="Arial" w:hAnsi="Arial"/>
          <w:i w:val="1"/>
          <w:sz w:val="20"/>
          <w:szCs w:val="20"/>
          <w:rtl w:val="0"/>
        </w:rPr>
        <w:t xml:space="preserve">Faula, la hora del vacío </w:t>
      </w:r>
      <w:r w:rsidDel="00000000" w:rsidR="00000000" w:rsidRPr="00000000">
        <w:rPr>
          <w:rFonts w:ascii="Arial" w:cs="Arial" w:eastAsia="Arial" w:hAnsi="Arial"/>
          <w:sz w:val="20"/>
          <w:szCs w:val="20"/>
          <w:rtl w:val="0"/>
        </w:rPr>
        <w:t xml:space="preserve">(Fin de Viaje, 2012), </w:t>
      </w:r>
      <w:r w:rsidDel="00000000" w:rsidR="00000000" w:rsidRPr="00000000">
        <w:rPr>
          <w:rFonts w:ascii="Arial" w:cs="Arial" w:eastAsia="Arial" w:hAnsi="Arial"/>
          <w:i w:val="1"/>
          <w:sz w:val="20"/>
          <w:szCs w:val="20"/>
          <w:rtl w:val="0"/>
        </w:rPr>
        <w:t xml:space="preserve">El hospital de las muñecas</w:t>
      </w:r>
      <w:r w:rsidDel="00000000" w:rsidR="00000000" w:rsidRPr="00000000">
        <w:rPr>
          <w:rFonts w:ascii="Arial" w:cs="Arial" w:eastAsia="Arial" w:hAnsi="Arial"/>
          <w:sz w:val="20"/>
          <w:szCs w:val="20"/>
          <w:rtl w:val="0"/>
        </w:rPr>
        <w:t xml:space="preserve"> (Vitruvio, 2015), </w:t>
      </w:r>
      <w:r w:rsidDel="00000000" w:rsidR="00000000" w:rsidRPr="00000000">
        <w:rPr>
          <w:rFonts w:ascii="Arial" w:cs="Arial" w:eastAsia="Arial" w:hAnsi="Arial"/>
          <w:i w:val="1"/>
          <w:sz w:val="20"/>
          <w:szCs w:val="20"/>
          <w:rtl w:val="0"/>
        </w:rPr>
        <w:t xml:space="preserve">Horas hermosas para teñirlas de rojo</w:t>
      </w:r>
      <w:r w:rsidDel="00000000" w:rsidR="00000000" w:rsidRPr="00000000">
        <w:rPr>
          <w:rFonts w:ascii="Arial" w:cs="Arial" w:eastAsia="Arial" w:hAnsi="Arial"/>
          <w:sz w:val="20"/>
          <w:szCs w:val="20"/>
          <w:rtl w:val="0"/>
        </w:rPr>
        <w:t xml:space="preserve"> (La Garúa, 2015), el libro híbrido </w:t>
      </w:r>
      <w:r w:rsidDel="00000000" w:rsidR="00000000" w:rsidRPr="00000000">
        <w:rPr>
          <w:rFonts w:ascii="Arial" w:cs="Arial" w:eastAsia="Arial" w:hAnsi="Arial"/>
          <w:i w:val="1"/>
          <w:sz w:val="20"/>
          <w:szCs w:val="20"/>
          <w:rtl w:val="0"/>
        </w:rPr>
        <w:t xml:space="preserve">Hotel Útero </w:t>
      </w:r>
      <w:r w:rsidDel="00000000" w:rsidR="00000000" w:rsidRPr="00000000">
        <w:rPr>
          <w:rFonts w:ascii="Arial" w:cs="Arial" w:eastAsia="Arial" w:hAnsi="Arial"/>
          <w:sz w:val="20"/>
          <w:szCs w:val="20"/>
          <w:rtl w:val="0"/>
        </w:rPr>
        <w:t xml:space="preserve">(Esdrújula ediciones, 2018), el ensayo </w:t>
      </w:r>
      <w:r w:rsidDel="00000000" w:rsidR="00000000" w:rsidRPr="00000000">
        <w:rPr>
          <w:rFonts w:ascii="Arial" w:cs="Arial" w:eastAsia="Arial" w:hAnsi="Arial"/>
          <w:i w:val="1"/>
          <w:sz w:val="20"/>
          <w:szCs w:val="20"/>
          <w:rtl w:val="0"/>
        </w:rPr>
        <w:t xml:space="preserve">Hijas de la melancolía. Mujeres que rompen su jaula </w:t>
      </w:r>
      <w:r w:rsidDel="00000000" w:rsidR="00000000" w:rsidRPr="00000000">
        <w:rPr>
          <w:rFonts w:ascii="Arial" w:cs="Arial" w:eastAsia="Arial" w:hAnsi="Arial"/>
          <w:sz w:val="20"/>
          <w:szCs w:val="20"/>
          <w:rtl w:val="0"/>
        </w:rPr>
        <w:t xml:space="preserve">(2018), </w:t>
      </w:r>
      <w:r w:rsidDel="00000000" w:rsidR="00000000" w:rsidRPr="00000000">
        <w:rPr>
          <w:rFonts w:ascii="Arial" w:cs="Arial" w:eastAsia="Arial" w:hAnsi="Arial"/>
          <w:i w:val="1"/>
          <w:sz w:val="20"/>
          <w:szCs w:val="20"/>
          <w:rtl w:val="0"/>
        </w:rPr>
        <w:t xml:space="preserve">El robasábados</w:t>
      </w:r>
      <w:r w:rsidDel="00000000" w:rsidR="00000000" w:rsidRPr="00000000">
        <w:rPr>
          <w:rFonts w:ascii="Arial" w:cs="Arial" w:eastAsia="Arial" w:hAnsi="Arial"/>
          <w:sz w:val="20"/>
          <w:szCs w:val="20"/>
          <w:rtl w:val="0"/>
        </w:rPr>
        <w:t xml:space="preserve">, libro infantil (2019) y Élitros (2020).</w:t>
      </w:r>
    </w:p>
    <w:p w:rsidR="00000000" w:rsidDel="00000000" w:rsidP="00000000" w:rsidRDefault="00000000" w:rsidRPr="00000000" w14:paraId="00000005">
      <w:pPr>
        <w:spacing w:line="360" w:lineRule="auto"/>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En la modalidad de relato gana el 1º Premio Carmen de Burgos (Almería, 1998) y queda finalista en el certamen Ciutat délx de microrrelatos (1998). </w:t>
      </w:r>
    </w:p>
    <w:p w:rsidR="00000000" w:rsidDel="00000000" w:rsidP="00000000" w:rsidRDefault="00000000" w:rsidRPr="00000000" w14:paraId="00000006">
      <w:pPr>
        <w:spacing w:line="360" w:lineRule="auto"/>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Sus poemas han aparecido en antologías como </w:t>
      </w:r>
      <w:r w:rsidDel="00000000" w:rsidR="00000000" w:rsidRPr="00000000">
        <w:rPr>
          <w:rFonts w:ascii="Arial" w:cs="Arial" w:eastAsia="Arial" w:hAnsi="Arial"/>
          <w:i w:val="1"/>
          <w:sz w:val="20"/>
          <w:szCs w:val="20"/>
          <w:rtl w:val="0"/>
        </w:rPr>
        <w:t xml:space="preserve">La antología del beso</w:t>
      </w:r>
      <w:r w:rsidDel="00000000" w:rsidR="00000000" w:rsidRPr="00000000">
        <w:rPr>
          <w:rFonts w:ascii="Arial" w:cs="Arial" w:eastAsia="Arial" w:hAnsi="Arial"/>
          <w:sz w:val="20"/>
          <w:szCs w:val="20"/>
          <w:rtl w:val="0"/>
        </w:rPr>
        <w:t xml:space="preserve"> (2009), </w:t>
      </w:r>
      <w:r w:rsidDel="00000000" w:rsidR="00000000" w:rsidRPr="00000000">
        <w:rPr>
          <w:rFonts w:ascii="Arial" w:cs="Arial" w:eastAsia="Arial" w:hAnsi="Arial"/>
          <w:i w:val="1"/>
          <w:sz w:val="20"/>
          <w:szCs w:val="20"/>
          <w:rtl w:val="0"/>
        </w:rPr>
        <w:t xml:space="preserve">Nueva poesía y narrativa hispanoamericana del siglo XXI</w:t>
      </w:r>
      <w:r w:rsidDel="00000000" w:rsidR="00000000" w:rsidRPr="00000000">
        <w:rPr>
          <w:rFonts w:ascii="Arial" w:cs="Arial" w:eastAsia="Arial" w:hAnsi="Arial"/>
          <w:sz w:val="20"/>
          <w:szCs w:val="20"/>
          <w:rtl w:val="0"/>
        </w:rPr>
        <w:t xml:space="preserve"> (2009), </w:t>
      </w:r>
      <w:r w:rsidDel="00000000" w:rsidR="00000000" w:rsidRPr="00000000">
        <w:rPr>
          <w:rFonts w:ascii="Arial" w:cs="Arial" w:eastAsia="Arial" w:hAnsi="Arial"/>
          <w:i w:val="1"/>
          <w:sz w:val="20"/>
          <w:szCs w:val="20"/>
          <w:rtl w:val="0"/>
        </w:rPr>
        <w:t xml:space="preserve">Y para qué más poetas</w:t>
      </w:r>
      <w:r w:rsidDel="00000000" w:rsidR="00000000" w:rsidRPr="00000000">
        <w:rPr>
          <w:rFonts w:ascii="Arial" w:cs="Arial" w:eastAsia="Arial" w:hAnsi="Arial"/>
          <w:sz w:val="20"/>
          <w:szCs w:val="20"/>
          <w:rtl w:val="0"/>
        </w:rPr>
        <w:t xml:space="preserve"> (2010), </w:t>
      </w:r>
      <w:r w:rsidDel="00000000" w:rsidR="00000000" w:rsidRPr="00000000">
        <w:rPr>
          <w:rFonts w:ascii="Arial" w:cs="Arial" w:eastAsia="Arial" w:hAnsi="Arial"/>
          <w:i w:val="1"/>
          <w:sz w:val="20"/>
          <w:szCs w:val="20"/>
          <w:rtl w:val="0"/>
        </w:rPr>
        <w:t xml:space="preserve">Blanco Nuclear</w:t>
      </w:r>
      <w:r w:rsidDel="00000000" w:rsidR="00000000" w:rsidRPr="00000000">
        <w:rPr>
          <w:rFonts w:ascii="Arial" w:cs="Arial" w:eastAsia="Arial" w:hAnsi="Arial"/>
          <w:sz w:val="20"/>
          <w:szCs w:val="20"/>
          <w:rtl w:val="0"/>
        </w:rPr>
        <w:t xml:space="preserve"> (2011), </w:t>
      </w:r>
      <w:r w:rsidDel="00000000" w:rsidR="00000000" w:rsidRPr="00000000">
        <w:rPr>
          <w:rFonts w:ascii="Arial" w:cs="Arial" w:eastAsia="Arial" w:hAnsi="Arial"/>
          <w:i w:val="1"/>
          <w:sz w:val="20"/>
          <w:szCs w:val="20"/>
          <w:rtl w:val="0"/>
        </w:rPr>
        <w:t xml:space="preserve">Mujeres que aman a mujeres</w:t>
      </w:r>
      <w:r w:rsidDel="00000000" w:rsidR="00000000" w:rsidRPr="00000000">
        <w:rPr>
          <w:rFonts w:ascii="Arial" w:cs="Arial" w:eastAsia="Arial" w:hAnsi="Arial"/>
          <w:sz w:val="20"/>
          <w:szCs w:val="20"/>
          <w:rtl w:val="0"/>
        </w:rPr>
        <w:t xml:space="preserve"> (2012), </w:t>
      </w:r>
      <w:r w:rsidDel="00000000" w:rsidR="00000000" w:rsidRPr="00000000">
        <w:rPr>
          <w:rFonts w:ascii="Arial" w:cs="Arial" w:eastAsia="Arial" w:hAnsi="Arial"/>
          <w:i w:val="1"/>
          <w:sz w:val="20"/>
          <w:szCs w:val="20"/>
          <w:rtl w:val="0"/>
        </w:rPr>
        <w:t xml:space="preserve">Hijas del pájaro de fuego</w:t>
      </w:r>
      <w:r w:rsidDel="00000000" w:rsidR="00000000" w:rsidRPr="00000000">
        <w:rPr>
          <w:rFonts w:ascii="Arial" w:cs="Arial" w:eastAsia="Arial" w:hAnsi="Arial"/>
          <w:sz w:val="20"/>
          <w:szCs w:val="20"/>
          <w:rtl w:val="0"/>
        </w:rPr>
        <w:t xml:space="preserve"> (2012), </w:t>
      </w:r>
      <w:r w:rsidDel="00000000" w:rsidR="00000000" w:rsidRPr="00000000">
        <w:rPr>
          <w:rFonts w:ascii="Arial" w:cs="Arial" w:eastAsia="Arial" w:hAnsi="Arial"/>
          <w:i w:val="1"/>
          <w:sz w:val="20"/>
          <w:szCs w:val="20"/>
          <w:rtl w:val="0"/>
        </w:rPr>
        <w:t xml:space="preserve">Sangrantes</w:t>
      </w:r>
      <w:r w:rsidDel="00000000" w:rsidR="00000000" w:rsidRPr="00000000">
        <w:rPr>
          <w:rFonts w:ascii="Arial" w:cs="Arial" w:eastAsia="Arial" w:hAnsi="Arial"/>
          <w:sz w:val="20"/>
          <w:szCs w:val="20"/>
          <w:rtl w:val="0"/>
        </w:rPr>
        <w:t xml:space="preserve"> (2013. Edición de Luna Miguel), </w:t>
      </w:r>
      <w:r w:rsidDel="00000000" w:rsidR="00000000" w:rsidRPr="00000000">
        <w:rPr>
          <w:rFonts w:ascii="Arial" w:cs="Arial" w:eastAsia="Arial" w:hAnsi="Arial"/>
          <w:i w:val="1"/>
          <w:sz w:val="20"/>
          <w:szCs w:val="20"/>
          <w:rtl w:val="0"/>
        </w:rPr>
        <w:t xml:space="preserve">25 poemas</w:t>
      </w:r>
      <w:r w:rsidDel="00000000" w:rsidR="00000000" w:rsidRPr="00000000">
        <w:rPr>
          <w:rFonts w:ascii="Arial" w:cs="Arial" w:eastAsia="Arial" w:hAnsi="Arial"/>
          <w:sz w:val="20"/>
          <w:szCs w:val="20"/>
          <w:rtl w:val="0"/>
        </w:rPr>
        <w:t xml:space="preserve"> (Sigue leyendo, 2013), (in)versa: 44 poetas españolas contemporáneas (2014), Tribu versus Trilce (2017), Voz vértebra. Antología de poesía futura (2017), Granada no se calla (2018), Árbol de Alejandra (2019) y Poesía bajo sospecha. Españolas nacidas entre 1976 y 1993 (2020).</w:t>
      </w:r>
    </w:p>
    <w:p w:rsidR="00000000" w:rsidDel="00000000" w:rsidP="00000000" w:rsidRDefault="00000000" w:rsidRPr="00000000" w14:paraId="00000007">
      <w:pPr>
        <w:spacing w:line="360" w:lineRule="auto"/>
        <w:ind w:left="-426" w:firstLine="0"/>
        <w:jc w:val="both"/>
        <w:rPr/>
      </w:pPr>
      <w:r w:rsidDel="00000000" w:rsidR="00000000" w:rsidRPr="00000000">
        <w:rPr>
          <w:rtl w:val="0"/>
        </w:rPr>
      </w:r>
    </w:p>
    <w:p w:rsidR="00000000" w:rsidDel="00000000" w:rsidP="00000000" w:rsidRDefault="00000000" w:rsidRPr="00000000" w14:paraId="00000008">
      <w:pPr>
        <w:rPr/>
      </w:pPr>
      <w:r w:rsidDel="00000000" w:rsidR="00000000" w:rsidRPr="00000000">
        <w:rPr>
          <w:rtl w:val="0"/>
        </w:rPr>
      </w:r>
    </w:p>
    <w:p w:rsidR="00000000" w:rsidDel="00000000" w:rsidP="00000000" w:rsidRDefault="00000000" w:rsidRPr="00000000" w14:paraId="00000009">
      <w:pPr>
        <w:rPr/>
      </w:pPr>
      <w:r w:rsidDel="00000000" w:rsidR="00000000" w:rsidRPr="00000000">
        <w:rPr>
          <w:rtl w:val="0"/>
        </w:rPr>
      </w:r>
    </w:p>
    <w:sectPr>
      <w:pgSz w:h="16840" w:w="11900" w:orient="portrait"/>
      <w:pgMar w:bottom="1417" w:top="1417" w:left="1701" w:right="1701" w:header="708" w:footer="708"/>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Cambria"/>
  <w:font w:name="Georgia"/>
  <w:font w:name="Arial"/>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Cambria" w:cs="Cambria" w:eastAsia="Cambria" w:hAnsi="Cambria"/>
        <w:sz w:val="24"/>
        <w:szCs w:val="24"/>
        <w:lang w:val="es-ES_tradnl"/>
      </w:rPr>
    </w:rPrDefault>
    <w:pPrDefault>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spacing w:after="120" w:before="480" w:lineRule="auto"/>
    </w:pPr>
    <w:rPr>
      <w:b w:val="1"/>
      <w:sz w:val="48"/>
      <w:szCs w:val="48"/>
    </w:rPr>
  </w:style>
  <w:style w:type="paragraph" w:styleId="Heading2">
    <w:name w:val="heading 2"/>
    <w:basedOn w:val="Normal"/>
    <w:next w:val="Normal"/>
    <w:pPr>
      <w:keepNext w:val="1"/>
      <w:keepLines w:val="1"/>
      <w:spacing w:after="80" w:before="360" w:lineRule="auto"/>
    </w:pPr>
    <w:rPr>
      <w:b w:val="1"/>
      <w:sz w:val="36"/>
      <w:szCs w:val="36"/>
    </w:rPr>
  </w:style>
  <w:style w:type="paragraph" w:styleId="Heading3">
    <w:name w:val="heading 3"/>
    <w:basedOn w:val="Normal"/>
    <w:next w:val="Normal"/>
    <w:pPr>
      <w:keepNext w:val="1"/>
      <w:keepLines w:val="1"/>
      <w:spacing w:after="80" w:before="280" w:lineRule="auto"/>
    </w:pPr>
    <w:rPr>
      <w:b w:val="1"/>
      <w:sz w:val="28"/>
      <w:szCs w:val="28"/>
    </w:rPr>
  </w:style>
  <w:style w:type="paragraph" w:styleId="Heading4">
    <w:name w:val="heading 4"/>
    <w:basedOn w:val="Normal"/>
    <w:next w:val="Normal"/>
    <w:pPr>
      <w:keepNext w:val="1"/>
      <w:keepLines w:val="1"/>
      <w:spacing w:after="40" w:before="240" w:lineRule="auto"/>
    </w:pPr>
    <w:rPr>
      <w:b w:val="1"/>
      <w:sz w:val="24"/>
      <w:szCs w:val="24"/>
    </w:rPr>
  </w:style>
  <w:style w:type="paragraph" w:styleId="Heading5">
    <w:name w:val="heading 5"/>
    <w:basedOn w:val="Normal"/>
    <w:next w:val="Normal"/>
    <w:pPr>
      <w:keepNext w:val="1"/>
      <w:keepLines w:val="1"/>
      <w:spacing w:after="40" w:before="220" w:lineRule="auto"/>
    </w:pPr>
    <w:rPr>
      <w:b w:val="1"/>
      <w:sz w:val="22"/>
      <w:szCs w:val="22"/>
    </w:rPr>
  </w:style>
  <w:style w:type="paragraph" w:styleId="Heading6">
    <w:name w:val="heading 6"/>
    <w:basedOn w:val="Normal"/>
    <w:next w:val="Normal"/>
    <w:pPr>
      <w:keepNext w:val="1"/>
      <w:keepLines w:val="1"/>
      <w:spacing w:after="40" w:before="200" w:lineRule="auto"/>
    </w:pPr>
    <w:rPr>
      <w:b w:val="1"/>
      <w:sz w:val="20"/>
      <w:szCs w:val="20"/>
    </w:rPr>
  </w:style>
  <w:style w:type="paragraph" w:styleId="Title">
    <w:name w:val="Title"/>
    <w:basedOn w:val="Normal"/>
    <w:next w:val="Normal"/>
    <w:pPr>
      <w:keepNext w:val="1"/>
      <w:keepLines w:val="1"/>
      <w:spacing w:after="120" w:before="480" w:lineRule="auto"/>
    </w:pPr>
    <w:rPr>
      <w:b w:val="1"/>
      <w:sz w:val="72"/>
      <w:szCs w:val="72"/>
    </w:rPr>
  </w:style>
  <w:style w:type="paragraph" w:styleId="Subtitle">
    <w:name w:val="Subtitle"/>
    <w:basedOn w:val="Normal"/>
    <w:next w:val="Normal"/>
    <w:pPr>
      <w:keepNext w:val="1"/>
      <w:keepLines w:val="1"/>
      <w:spacing w:after="80" w:before="360" w:lineRule="auto"/>
    </w:pPr>
    <w:rPr>
      <w:rFonts w:ascii="Georgia" w:cs="Georgia" w:eastAsia="Georgia" w:hAnsi="Georgia"/>
      <w:i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