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hd w:fill="ffffff" w:val="clear"/>
        <w:spacing w:after="0" w:line="240" w:lineRule="auto"/>
        <w:rPr>
          <w:rFonts w:ascii="Times New Roman" w:cs="Times New Roman" w:eastAsia="Times New Roman" w:hAnsi="Times New Roman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Nara Mansur Cao (La Habana, Cuba, 1969)</w:t>
      </w:r>
    </w:p>
    <w:p w:rsidR="00000000" w:rsidDel="00000000" w:rsidP="00000000" w:rsidRDefault="00000000" w:rsidRPr="00000000" w14:paraId="00000002">
      <w:pPr>
        <w:shd w:fill="ffffff" w:val="clear"/>
        <w:spacing w:after="0" w:line="240" w:lineRule="auto"/>
        <w:rPr>
          <w:rFonts w:ascii="Bookman Old Style" w:cs="Bookman Old Style" w:eastAsia="Bookman Old Style" w:hAnsi="Bookman Old Style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Poeta, dramaturga, crítica teatral egresada del Instituto Superior de Arte.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Libros publicados (Poesía):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Arpegio 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(2019),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El trajecito rosa 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(2018),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Régimen de afectos 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(2015),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Manualidades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 (Premio Nicolás Guillén 2011 y Premio de la Crítica Literaria);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 Un ejercicio al aire libre 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(2004),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Mañana es cuando estoy despierta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 (Premio Pinos Nuevos 2000); (Teatro):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Desdramatizándome. Cuatro poemas para el teatro 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(Premio de la Crítica Literaria 2010), incluye sus obras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Charlotte Corday. Poema dramático --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Finalista I Concurso “Casa de América-Festival de Escena Contemporánea” de Dramaturgia Innovadora, Madrid, 2002--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Ignacio &amp; María --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Finalista Premio de Dramaturgia Virgilio Piñera 2002--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Educación sentimental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 y 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Venus y el albañil --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Accésit Primer Concurso de Dramaturgia organizado por la Embajada de España en Cuba y la Agencia Española de Cooperación Internacional, 2005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).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Ediciones sinsentido (100 ejemplares numerados y firmados por el autor) inauguró su catálago con su texto teatral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Chesterfield sofá capitoné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en 2016.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 (Investigación):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Dos viejos pánicos y otros textos teatrales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 (2014, selección y estudio crítico del teatro de Virgilio Piñera), teatros completos de Antón Chéjov e Iván Turguéniev (2015, introducciones).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Premio Iberoamericano de Cuento Julio Cortázar 2013 por “¿Por qué hablamos de amor siempre?”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Sus materiales escénicos han sido estrenados en Cuba, Argentina, Colombia, Estados Unidos, Italia y Puerto Rico.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hd w:fill="ffffff" w:val="clear"/>
        <w:spacing w:after="0" w:lineRule="auto"/>
        <w:rPr>
          <w:rFonts w:ascii="Times New Roman" w:cs="Times New Roman" w:eastAsia="Times New Roman" w:hAnsi="Times New Roman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Creadora/coordinadora del ciclo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Dramaturgias posibles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, Centro Cultural de la Cooperación.</w:t>
      </w:r>
    </w:p>
    <w:p w:rsidR="00000000" w:rsidDel="00000000" w:rsidP="00000000" w:rsidRDefault="00000000" w:rsidRPr="00000000" w14:paraId="00000008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Investigadora del Instituto de Artes del Espectáculo, Universidad de Buenos Aires.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0" w:lineRule="auto"/>
        <w:rPr>
          <w:rFonts w:ascii="Bookman Old Style" w:cs="Bookman Old Style" w:eastAsia="Bookman Old Style" w:hAnsi="Bookman Old Style"/>
          <w:color w:val="26282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Profesora Seminario de Dramaturgia, Instituto Superior de Arte (2001-2007). Editora revista 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26282a"/>
          <w:sz w:val="24"/>
          <w:szCs w:val="24"/>
          <w:rtl w:val="0"/>
        </w:rPr>
        <w:t xml:space="preserve">Conjunto</w:t>
      </w:r>
      <w:r w:rsidDel="00000000" w:rsidR="00000000" w:rsidRPr="00000000">
        <w:rPr>
          <w:rFonts w:ascii="Times New Roman" w:cs="Times New Roman" w:eastAsia="Times New Roman" w:hAnsi="Times New Roman"/>
          <w:color w:val="26282a"/>
          <w:sz w:val="24"/>
          <w:szCs w:val="24"/>
          <w:rtl w:val="0"/>
        </w:rPr>
        <w:t xml:space="preserve">, Casa de las Américas (1997-2007).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Bookman Old Style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hy-AM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