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A87489" w14:textId="77777777" w:rsidR="005B6B2D" w:rsidRPr="00C316F8" w:rsidRDefault="005B6B2D" w:rsidP="00B025A8">
      <w:pPr>
        <w:jc w:val="center"/>
        <w:rPr>
          <w:rFonts w:cstheme="minorHAnsi"/>
          <w:b/>
          <w:bCs/>
          <w:sz w:val="24"/>
          <w:szCs w:val="24"/>
          <w:lang w:val="es-ES"/>
        </w:rPr>
      </w:pPr>
      <w:r w:rsidRPr="00C316F8">
        <w:rPr>
          <w:rFonts w:cstheme="minorHAnsi"/>
          <w:b/>
          <w:bCs/>
          <w:sz w:val="24"/>
          <w:szCs w:val="24"/>
          <w:lang w:val="es-ES"/>
        </w:rPr>
        <w:t>UNIVERSIDAD JORGE TADEO LOZANO</w:t>
      </w:r>
    </w:p>
    <w:p w14:paraId="158BA0F6" w14:textId="77777777" w:rsidR="005B6B2D" w:rsidRPr="00C316F8" w:rsidRDefault="005B6B2D" w:rsidP="00B025A8">
      <w:pPr>
        <w:jc w:val="center"/>
        <w:rPr>
          <w:rFonts w:cstheme="minorHAnsi"/>
          <w:b/>
          <w:bCs/>
          <w:sz w:val="24"/>
          <w:szCs w:val="24"/>
          <w:lang w:val="es-ES"/>
        </w:rPr>
      </w:pPr>
      <w:r w:rsidRPr="00C316F8">
        <w:rPr>
          <w:rFonts w:cstheme="minorHAnsi"/>
          <w:b/>
          <w:bCs/>
          <w:sz w:val="24"/>
          <w:szCs w:val="24"/>
          <w:lang w:val="es-ES"/>
        </w:rPr>
        <w:t>DOCTORADO EN MODELADO EN POLÍTICAS Y GESTIÓN PÚBLICA</w:t>
      </w:r>
    </w:p>
    <w:p w14:paraId="37CD9A73" w14:textId="77777777" w:rsidR="005B6B2D" w:rsidRPr="00C316F8" w:rsidRDefault="005B6B2D" w:rsidP="00B025A8">
      <w:pPr>
        <w:jc w:val="center"/>
        <w:rPr>
          <w:rFonts w:cstheme="minorHAnsi"/>
          <w:bCs/>
          <w:sz w:val="24"/>
          <w:szCs w:val="24"/>
          <w:lang w:val="es-ES"/>
        </w:rPr>
      </w:pPr>
    </w:p>
    <w:p w14:paraId="65AB11A8" w14:textId="77777777" w:rsidR="005B6B2D" w:rsidRPr="00C316F8" w:rsidRDefault="005B6B2D" w:rsidP="00B025A8">
      <w:pPr>
        <w:jc w:val="center"/>
        <w:rPr>
          <w:rFonts w:cstheme="minorHAnsi"/>
          <w:bCs/>
          <w:sz w:val="24"/>
          <w:szCs w:val="24"/>
          <w:lang w:val="es-ES"/>
        </w:rPr>
      </w:pPr>
    </w:p>
    <w:p w14:paraId="6ED138BD" w14:textId="77777777" w:rsidR="005B6B2D" w:rsidRPr="00C316F8" w:rsidRDefault="005B6B2D" w:rsidP="00B025A8">
      <w:pPr>
        <w:jc w:val="center"/>
        <w:rPr>
          <w:rFonts w:cstheme="minorHAnsi"/>
          <w:bCs/>
          <w:sz w:val="24"/>
          <w:szCs w:val="24"/>
          <w:lang w:val="es-ES"/>
        </w:rPr>
      </w:pPr>
      <w:r w:rsidRPr="00C316F8">
        <w:rPr>
          <w:rFonts w:cstheme="minorHAnsi"/>
          <w:noProof/>
          <w:sz w:val="24"/>
          <w:szCs w:val="24"/>
        </w:rPr>
        <w:drawing>
          <wp:inline distT="0" distB="0" distL="0" distR="0" wp14:anchorId="2E8E2C78" wp14:editId="1F4CD242">
            <wp:extent cx="2780030" cy="1638300"/>
            <wp:effectExtent l="0" t="0" r="1270" b="0"/>
            <wp:docPr id="25" name="Imagen 25"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10;&#10;Descripción generada automáticamente con confianza med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80030" cy="1638300"/>
                    </a:xfrm>
                    <a:prstGeom prst="rect">
                      <a:avLst/>
                    </a:prstGeom>
                    <a:noFill/>
                    <a:ln>
                      <a:noFill/>
                    </a:ln>
                  </pic:spPr>
                </pic:pic>
              </a:graphicData>
            </a:graphic>
          </wp:inline>
        </w:drawing>
      </w:r>
    </w:p>
    <w:p w14:paraId="6B7A9B46" w14:textId="77777777" w:rsidR="005B6B2D" w:rsidRPr="00C316F8" w:rsidRDefault="005B6B2D" w:rsidP="00B025A8">
      <w:pPr>
        <w:jc w:val="center"/>
        <w:rPr>
          <w:rFonts w:cstheme="minorHAnsi"/>
          <w:bCs/>
          <w:sz w:val="24"/>
          <w:szCs w:val="24"/>
          <w:lang w:val="es-ES"/>
        </w:rPr>
      </w:pPr>
    </w:p>
    <w:p w14:paraId="59A3CCEE" w14:textId="77777777" w:rsidR="005B6B2D" w:rsidRPr="00C316F8" w:rsidRDefault="005B6B2D" w:rsidP="00B025A8">
      <w:pPr>
        <w:jc w:val="center"/>
        <w:rPr>
          <w:rFonts w:cstheme="minorHAnsi"/>
          <w:b/>
          <w:sz w:val="24"/>
          <w:szCs w:val="24"/>
          <w:lang w:val="es-ES"/>
        </w:rPr>
      </w:pPr>
      <w:r w:rsidRPr="00C316F8">
        <w:rPr>
          <w:rFonts w:cstheme="minorHAnsi"/>
          <w:b/>
          <w:sz w:val="24"/>
          <w:szCs w:val="24"/>
          <w:lang w:val="es-ES"/>
        </w:rPr>
        <w:t>FACTORES SOCIALES Y ECONÓMICOS ASOCIADOS A MORTALIDAD POR COVID-19 EN TERRITORIOS DE COLOMBIA 2020-2022</w:t>
      </w:r>
    </w:p>
    <w:p w14:paraId="7BF9B414" w14:textId="77777777" w:rsidR="005B6B2D" w:rsidRPr="00C316F8" w:rsidRDefault="005B6B2D" w:rsidP="00B025A8">
      <w:pPr>
        <w:jc w:val="center"/>
        <w:rPr>
          <w:rFonts w:cstheme="minorHAnsi"/>
          <w:b/>
          <w:sz w:val="24"/>
          <w:szCs w:val="24"/>
          <w:lang w:val="es-ES"/>
        </w:rPr>
      </w:pPr>
    </w:p>
    <w:p w14:paraId="0258F03D" w14:textId="77777777" w:rsidR="005B6B2D" w:rsidRPr="00C316F8" w:rsidRDefault="005B6B2D" w:rsidP="00B025A8">
      <w:pPr>
        <w:jc w:val="center"/>
        <w:rPr>
          <w:rFonts w:cstheme="minorHAnsi"/>
          <w:bCs/>
          <w:sz w:val="24"/>
          <w:szCs w:val="24"/>
          <w:lang w:val="es-ES"/>
        </w:rPr>
      </w:pPr>
    </w:p>
    <w:p w14:paraId="290507CA" w14:textId="77777777" w:rsidR="005B6B2D" w:rsidRPr="00C316F8" w:rsidRDefault="005B6B2D" w:rsidP="00B025A8">
      <w:pPr>
        <w:jc w:val="center"/>
        <w:rPr>
          <w:rFonts w:cstheme="minorHAnsi"/>
          <w:bCs/>
          <w:sz w:val="24"/>
          <w:szCs w:val="24"/>
          <w:lang w:val="es-ES"/>
        </w:rPr>
      </w:pPr>
    </w:p>
    <w:p w14:paraId="410889A1" w14:textId="77777777" w:rsidR="005B6B2D" w:rsidRPr="00C316F8" w:rsidRDefault="005B6B2D" w:rsidP="00B025A8">
      <w:pPr>
        <w:jc w:val="center"/>
        <w:rPr>
          <w:rFonts w:cstheme="minorHAnsi"/>
          <w:b/>
          <w:bCs/>
          <w:sz w:val="24"/>
          <w:szCs w:val="24"/>
          <w:lang w:val="es-ES"/>
        </w:rPr>
      </w:pPr>
      <w:r w:rsidRPr="00C316F8">
        <w:rPr>
          <w:rFonts w:cstheme="minorHAnsi"/>
          <w:b/>
          <w:bCs/>
          <w:sz w:val="24"/>
          <w:szCs w:val="24"/>
          <w:lang w:val="es-ES"/>
        </w:rPr>
        <w:t>CLAUDIA INÉS BIRCHENALL JIMÉNEZ</w:t>
      </w:r>
    </w:p>
    <w:p w14:paraId="7D14CB04" w14:textId="77777777" w:rsidR="005B6B2D" w:rsidRPr="00C316F8" w:rsidRDefault="005B6B2D" w:rsidP="00B025A8">
      <w:pPr>
        <w:jc w:val="center"/>
        <w:rPr>
          <w:rFonts w:cstheme="minorHAnsi"/>
          <w:bCs/>
          <w:sz w:val="24"/>
          <w:szCs w:val="24"/>
          <w:lang w:val="es-ES"/>
        </w:rPr>
      </w:pPr>
    </w:p>
    <w:p w14:paraId="21BD4ED8" w14:textId="77777777" w:rsidR="005B6B2D" w:rsidRPr="00C316F8" w:rsidRDefault="005B6B2D" w:rsidP="00B025A8">
      <w:pPr>
        <w:jc w:val="center"/>
        <w:rPr>
          <w:rFonts w:cstheme="minorHAnsi"/>
          <w:bCs/>
          <w:sz w:val="24"/>
          <w:szCs w:val="24"/>
          <w:lang w:val="es-ES"/>
        </w:rPr>
      </w:pPr>
    </w:p>
    <w:p w14:paraId="768667A4" w14:textId="77777777" w:rsidR="005B6B2D" w:rsidRPr="00C316F8" w:rsidRDefault="005B6B2D" w:rsidP="00B025A8">
      <w:pPr>
        <w:jc w:val="center"/>
        <w:rPr>
          <w:rFonts w:cstheme="minorHAnsi"/>
          <w:bCs/>
          <w:sz w:val="24"/>
          <w:szCs w:val="24"/>
          <w:lang w:val="es-ES"/>
        </w:rPr>
      </w:pPr>
    </w:p>
    <w:p w14:paraId="00F54A9B" w14:textId="0D99349E" w:rsidR="005B6B2D" w:rsidRPr="00C316F8" w:rsidRDefault="005B6B2D" w:rsidP="00B025A8">
      <w:pPr>
        <w:jc w:val="center"/>
        <w:rPr>
          <w:rFonts w:cstheme="minorHAnsi"/>
          <w:bCs/>
          <w:sz w:val="24"/>
          <w:szCs w:val="24"/>
          <w:lang w:val="es-ES"/>
        </w:rPr>
      </w:pPr>
      <w:r w:rsidRPr="00C316F8">
        <w:rPr>
          <w:rFonts w:cstheme="minorHAnsi"/>
          <w:bCs/>
          <w:sz w:val="24"/>
          <w:szCs w:val="24"/>
          <w:lang w:val="es-ES"/>
        </w:rPr>
        <w:t xml:space="preserve">Bogotá, </w:t>
      </w:r>
      <w:r w:rsidR="00A01CDB" w:rsidRPr="00C316F8">
        <w:rPr>
          <w:rFonts w:cstheme="minorHAnsi"/>
          <w:bCs/>
          <w:sz w:val="24"/>
          <w:szCs w:val="24"/>
          <w:lang w:val="es-ES"/>
        </w:rPr>
        <w:t>octubre</w:t>
      </w:r>
      <w:r w:rsidRPr="00C316F8">
        <w:rPr>
          <w:rFonts w:cstheme="minorHAnsi"/>
          <w:bCs/>
          <w:sz w:val="24"/>
          <w:szCs w:val="24"/>
          <w:lang w:val="es-ES"/>
        </w:rPr>
        <w:t xml:space="preserve"> de 2025</w:t>
      </w:r>
    </w:p>
    <w:p w14:paraId="57AE1113" w14:textId="5DE64190" w:rsidR="00DF5719" w:rsidRPr="00C316F8" w:rsidRDefault="00DF5719">
      <w:pPr>
        <w:rPr>
          <w:rFonts w:cstheme="minorHAnsi"/>
          <w:bCs/>
          <w:sz w:val="24"/>
          <w:szCs w:val="24"/>
          <w:lang w:val="es-ES"/>
        </w:rPr>
      </w:pPr>
      <w:r w:rsidRPr="00C316F8">
        <w:rPr>
          <w:rFonts w:cstheme="minorHAnsi"/>
          <w:bCs/>
          <w:sz w:val="24"/>
          <w:szCs w:val="24"/>
          <w:lang w:val="es-ES"/>
        </w:rPr>
        <w:br w:type="page"/>
      </w:r>
    </w:p>
    <w:p w14:paraId="32975A38" w14:textId="77777777" w:rsidR="006A4D9B" w:rsidRPr="00C316F8" w:rsidRDefault="006A4D9B" w:rsidP="006A4D9B">
      <w:pPr>
        <w:jc w:val="center"/>
        <w:rPr>
          <w:rFonts w:cstheme="minorHAnsi"/>
          <w:b/>
          <w:sz w:val="24"/>
          <w:szCs w:val="24"/>
          <w:lang w:val="es-ES"/>
        </w:rPr>
      </w:pPr>
      <w:r w:rsidRPr="00C316F8">
        <w:rPr>
          <w:rFonts w:cstheme="minorHAnsi"/>
          <w:b/>
          <w:sz w:val="24"/>
          <w:szCs w:val="24"/>
          <w:lang w:val="es-ES"/>
        </w:rPr>
        <w:lastRenderedPageBreak/>
        <w:t>FACTORES SOCIALES Y ECONÓMICOS ASOCIADOS A MORTALIDAD POR COVID-19 EN TERRITORIOS DE COLOMBIA 2020-2022</w:t>
      </w:r>
    </w:p>
    <w:p w14:paraId="52C50225" w14:textId="77777777" w:rsidR="00DF5719" w:rsidRPr="00C316F8" w:rsidRDefault="00DF5719" w:rsidP="00DF5719">
      <w:pPr>
        <w:jc w:val="center"/>
        <w:rPr>
          <w:rFonts w:cstheme="minorHAnsi"/>
          <w:bCs/>
          <w:sz w:val="24"/>
          <w:szCs w:val="24"/>
          <w:lang w:val="es-ES"/>
        </w:rPr>
      </w:pPr>
    </w:p>
    <w:p w14:paraId="02A14013" w14:textId="77777777" w:rsidR="00DF5719" w:rsidRPr="00C316F8" w:rsidRDefault="00DF5719" w:rsidP="00DF5719">
      <w:pPr>
        <w:jc w:val="center"/>
        <w:rPr>
          <w:rFonts w:cstheme="minorHAnsi"/>
          <w:bCs/>
          <w:sz w:val="24"/>
          <w:szCs w:val="24"/>
          <w:lang w:val="es-ES"/>
        </w:rPr>
      </w:pPr>
    </w:p>
    <w:p w14:paraId="7F23C87A" w14:textId="77777777" w:rsidR="00DF5719" w:rsidRPr="00C316F8" w:rsidRDefault="00DF5719" w:rsidP="00DF5719">
      <w:pPr>
        <w:jc w:val="center"/>
        <w:rPr>
          <w:rFonts w:cstheme="minorHAnsi"/>
          <w:b/>
          <w:bCs/>
          <w:sz w:val="24"/>
          <w:szCs w:val="24"/>
          <w:lang w:val="es-ES"/>
        </w:rPr>
      </w:pPr>
      <w:r w:rsidRPr="00C316F8">
        <w:rPr>
          <w:rFonts w:cstheme="minorHAnsi"/>
          <w:b/>
          <w:bCs/>
          <w:sz w:val="24"/>
          <w:szCs w:val="24"/>
          <w:lang w:val="es-ES"/>
        </w:rPr>
        <w:t>CLAUDIA INÉS BIRCHENALL JIMÉNEZ</w:t>
      </w:r>
    </w:p>
    <w:p w14:paraId="4633D2DE" w14:textId="77777777" w:rsidR="0009732E" w:rsidRPr="00C316F8" w:rsidRDefault="0009732E" w:rsidP="00DF5719">
      <w:pPr>
        <w:jc w:val="center"/>
        <w:rPr>
          <w:rFonts w:cstheme="minorHAnsi"/>
          <w:b/>
          <w:bCs/>
          <w:sz w:val="24"/>
          <w:szCs w:val="24"/>
          <w:lang w:val="es-ES"/>
        </w:rPr>
      </w:pPr>
    </w:p>
    <w:p w14:paraId="5C0A36EC" w14:textId="77777777" w:rsidR="0009732E" w:rsidRPr="00C316F8" w:rsidRDefault="0009732E" w:rsidP="00DF5719">
      <w:pPr>
        <w:jc w:val="center"/>
        <w:rPr>
          <w:rFonts w:cstheme="minorHAnsi"/>
          <w:b/>
          <w:bCs/>
          <w:sz w:val="24"/>
          <w:szCs w:val="24"/>
          <w:lang w:val="es-ES"/>
        </w:rPr>
      </w:pPr>
    </w:p>
    <w:p w14:paraId="69779629" w14:textId="77777777" w:rsidR="0009732E" w:rsidRPr="00C316F8" w:rsidRDefault="00F23F3C" w:rsidP="00DF5719">
      <w:pPr>
        <w:jc w:val="center"/>
        <w:rPr>
          <w:rFonts w:cstheme="minorHAnsi"/>
          <w:b/>
          <w:bCs/>
          <w:sz w:val="24"/>
          <w:szCs w:val="24"/>
          <w:lang w:val="es-ES"/>
        </w:rPr>
      </w:pPr>
      <w:r w:rsidRPr="00C316F8">
        <w:rPr>
          <w:rFonts w:cstheme="minorHAnsi"/>
          <w:b/>
          <w:bCs/>
          <w:sz w:val="24"/>
          <w:szCs w:val="24"/>
          <w:lang w:val="es-ES"/>
        </w:rPr>
        <w:t xml:space="preserve">Tesis de investigación presentada como requisito para optar el título de: </w:t>
      </w:r>
    </w:p>
    <w:p w14:paraId="17F5A120" w14:textId="2BC88FC4" w:rsidR="00F23F3C" w:rsidRPr="00C316F8" w:rsidRDefault="00F23F3C" w:rsidP="00DF5719">
      <w:pPr>
        <w:jc w:val="center"/>
        <w:rPr>
          <w:rFonts w:cstheme="minorHAnsi"/>
          <w:b/>
          <w:bCs/>
          <w:sz w:val="24"/>
          <w:szCs w:val="24"/>
          <w:lang w:val="es-ES"/>
        </w:rPr>
      </w:pPr>
      <w:r w:rsidRPr="00C316F8">
        <w:rPr>
          <w:rFonts w:cstheme="minorHAnsi"/>
          <w:b/>
          <w:bCs/>
          <w:sz w:val="24"/>
          <w:szCs w:val="24"/>
          <w:lang w:val="es-ES"/>
        </w:rPr>
        <w:t>Doctor</w:t>
      </w:r>
      <w:r w:rsidR="0009732E" w:rsidRPr="00C316F8">
        <w:rPr>
          <w:rFonts w:cstheme="minorHAnsi"/>
          <w:b/>
          <w:bCs/>
          <w:sz w:val="24"/>
          <w:szCs w:val="24"/>
          <w:lang w:val="es-ES"/>
        </w:rPr>
        <w:t>a</w:t>
      </w:r>
      <w:r w:rsidRPr="00C316F8">
        <w:rPr>
          <w:rFonts w:cstheme="minorHAnsi"/>
          <w:b/>
          <w:bCs/>
          <w:sz w:val="24"/>
          <w:szCs w:val="24"/>
          <w:lang w:val="es-ES"/>
        </w:rPr>
        <w:t xml:space="preserve"> en Modelado en Política y Gestión Pública</w:t>
      </w:r>
    </w:p>
    <w:p w14:paraId="75350BD9" w14:textId="77777777" w:rsidR="00F23F3C" w:rsidRPr="00C316F8" w:rsidRDefault="00F23F3C" w:rsidP="00DF5719">
      <w:pPr>
        <w:jc w:val="center"/>
        <w:rPr>
          <w:rFonts w:cstheme="minorHAnsi"/>
          <w:b/>
          <w:sz w:val="24"/>
          <w:szCs w:val="24"/>
          <w:lang w:val="es-ES"/>
        </w:rPr>
      </w:pPr>
    </w:p>
    <w:p w14:paraId="5E780CA1" w14:textId="08CFD7BA" w:rsidR="00853FA5" w:rsidRPr="00C316F8" w:rsidRDefault="00853FA5" w:rsidP="00DF5719">
      <w:pPr>
        <w:jc w:val="center"/>
        <w:rPr>
          <w:rFonts w:cstheme="minorHAnsi"/>
          <w:b/>
          <w:sz w:val="24"/>
          <w:szCs w:val="24"/>
          <w:lang w:val="es-ES"/>
        </w:rPr>
      </w:pPr>
      <w:r w:rsidRPr="00C316F8">
        <w:rPr>
          <w:rFonts w:cstheme="minorHAnsi"/>
          <w:b/>
          <w:sz w:val="24"/>
          <w:szCs w:val="24"/>
          <w:lang w:val="es-ES"/>
        </w:rPr>
        <w:t>Directores</w:t>
      </w:r>
      <w:r w:rsidR="0009732E" w:rsidRPr="00C316F8">
        <w:rPr>
          <w:rFonts w:cstheme="minorHAnsi"/>
          <w:b/>
          <w:sz w:val="24"/>
          <w:szCs w:val="24"/>
          <w:lang w:val="es-ES"/>
        </w:rPr>
        <w:t>:</w:t>
      </w:r>
    </w:p>
    <w:p w14:paraId="79197687" w14:textId="037D53EE" w:rsidR="00853FA5" w:rsidRPr="00C316F8" w:rsidRDefault="00853FA5" w:rsidP="00DF5719">
      <w:pPr>
        <w:jc w:val="center"/>
        <w:rPr>
          <w:rFonts w:cstheme="minorHAnsi"/>
          <w:b/>
          <w:sz w:val="24"/>
          <w:szCs w:val="24"/>
          <w:lang w:val="es-CO"/>
        </w:rPr>
      </w:pPr>
      <w:r w:rsidRPr="00C316F8">
        <w:rPr>
          <w:rFonts w:cstheme="minorHAnsi"/>
          <w:b/>
          <w:sz w:val="24"/>
          <w:szCs w:val="24"/>
          <w:lang w:val="es-CO"/>
        </w:rPr>
        <w:t>Wilson Giovanni Jiménez Barbosa PhD</w:t>
      </w:r>
      <w:r w:rsidR="004F0CE9" w:rsidRPr="00C316F8">
        <w:rPr>
          <w:rFonts w:cstheme="minorHAnsi"/>
          <w:b/>
          <w:sz w:val="24"/>
          <w:szCs w:val="24"/>
          <w:lang w:val="es-CO"/>
        </w:rPr>
        <w:t>.</w:t>
      </w:r>
    </w:p>
    <w:p w14:paraId="5CD2DF1D" w14:textId="2D2FEEF2" w:rsidR="004F0CE9" w:rsidRPr="00C316F8" w:rsidRDefault="004F0CE9" w:rsidP="00DF5719">
      <w:pPr>
        <w:jc w:val="center"/>
        <w:rPr>
          <w:rFonts w:cstheme="minorHAnsi"/>
          <w:b/>
          <w:sz w:val="24"/>
          <w:szCs w:val="24"/>
          <w:lang w:val="es-CO"/>
        </w:rPr>
      </w:pPr>
      <w:r w:rsidRPr="00C316F8">
        <w:rPr>
          <w:rFonts w:cstheme="minorHAnsi"/>
          <w:b/>
          <w:sz w:val="24"/>
          <w:szCs w:val="24"/>
          <w:lang w:val="es-CO"/>
        </w:rPr>
        <w:t>Javier Riascos Ochoa PhD.</w:t>
      </w:r>
    </w:p>
    <w:p w14:paraId="3ED985C3" w14:textId="77777777" w:rsidR="0009732E" w:rsidRPr="00C316F8" w:rsidRDefault="0009732E" w:rsidP="00DF5719">
      <w:pPr>
        <w:jc w:val="center"/>
        <w:rPr>
          <w:rFonts w:cstheme="minorHAnsi"/>
          <w:b/>
          <w:sz w:val="24"/>
          <w:szCs w:val="24"/>
          <w:lang w:val="es-CO"/>
        </w:rPr>
      </w:pPr>
    </w:p>
    <w:p w14:paraId="7105A65B" w14:textId="77777777" w:rsidR="0009732E" w:rsidRPr="00C316F8" w:rsidRDefault="0009732E" w:rsidP="00DF5719">
      <w:pPr>
        <w:jc w:val="center"/>
        <w:rPr>
          <w:rFonts w:cstheme="minorHAnsi"/>
          <w:b/>
          <w:bCs/>
          <w:sz w:val="24"/>
          <w:szCs w:val="24"/>
          <w:lang w:val="es-CO"/>
        </w:rPr>
      </w:pPr>
    </w:p>
    <w:p w14:paraId="1ACEFDA4" w14:textId="10EA1EB6" w:rsidR="00DF5719" w:rsidRPr="00C316F8" w:rsidRDefault="004F0CE9" w:rsidP="00DF5719">
      <w:pPr>
        <w:jc w:val="center"/>
        <w:rPr>
          <w:rFonts w:cstheme="minorHAnsi"/>
          <w:bCs/>
          <w:sz w:val="24"/>
          <w:szCs w:val="24"/>
          <w:lang w:val="it-IT"/>
        </w:rPr>
      </w:pPr>
      <w:r w:rsidRPr="00C316F8">
        <w:rPr>
          <w:rFonts w:cstheme="minorHAnsi"/>
          <w:noProof/>
          <w:sz w:val="24"/>
          <w:szCs w:val="24"/>
        </w:rPr>
        <w:drawing>
          <wp:inline distT="0" distB="0" distL="0" distR="0" wp14:anchorId="00A8E37E" wp14:editId="6A2C152A">
            <wp:extent cx="2780030" cy="1638300"/>
            <wp:effectExtent l="0" t="0" r="1270" b="0"/>
            <wp:docPr id="909059026" name="Imagen 909059026"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10;&#10;Descripción generada automáticamente con confianza med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80030" cy="1638300"/>
                    </a:xfrm>
                    <a:prstGeom prst="rect">
                      <a:avLst/>
                    </a:prstGeom>
                    <a:noFill/>
                    <a:ln>
                      <a:noFill/>
                    </a:ln>
                  </pic:spPr>
                </pic:pic>
              </a:graphicData>
            </a:graphic>
          </wp:inline>
        </w:drawing>
      </w:r>
    </w:p>
    <w:p w14:paraId="11E536CD" w14:textId="77777777" w:rsidR="00DF5719" w:rsidRPr="00C316F8" w:rsidRDefault="00DF5719" w:rsidP="00DF5719">
      <w:pPr>
        <w:jc w:val="center"/>
        <w:rPr>
          <w:rFonts w:cstheme="minorHAnsi"/>
          <w:bCs/>
          <w:sz w:val="24"/>
          <w:szCs w:val="24"/>
          <w:lang w:val="es-CO"/>
        </w:rPr>
      </w:pPr>
    </w:p>
    <w:p w14:paraId="21740F1F" w14:textId="77777777" w:rsidR="00DF5719" w:rsidRPr="00C316F8" w:rsidRDefault="00DF5719" w:rsidP="00DF5719">
      <w:pPr>
        <w:jc w:val="center"/>
        <w:rPr>
          <w:rFonts w:cstheme="minorHAnsi"/>
          <w:bCs/>
          <w:sz w:val="24"/>
          <w:szCs w:val="24"/>
          <w:lang w:val="es-CO"/>
        </w:rPr>
      </w:pPr>
    </w:p>
    <w:p w14:paraId="583792B7" w14:textId="6E04B3AE" w:rsidR="00250698" w:rsidRPr="00C316F8" w:rsidRDefault="00250698" w:rsidP="00250698">
      <w:pPr>
        <w:jc w:val="center"/>
        <w:rPr>
          <w:rFonts w:cstheme="minorHAnsi"/>
          <w:bCs/>
          <w:sz w:val="24"/>
          <w:szCs w:val="24"/>
          <w:lang w:val="es-ES"/>
        </w:rPr>
      </w:pPr>
      <w:r w:rsidRPr="00C316F8">
        <w:rPr>
          <w:rFonts w:cstheme="minorHAnsi"/>
          <w:bCs/>
          <w:sz w:val="24"/>
          <w:szCs w:val="24"/>
          <w:lang w:val="es-ES"/>
        </w:rPr>
        <w:t>Universidad de Bogotá Jorge Tadeo Lozano</w:t>
      </w:r>
    </w:p>
    <w:p w14:paraId="2F448087" w14:textId="456E1458" w:rsidR="00250698" w:rsidRPr="00C316F8" w:rsidRDefault="00250698" w:rsidP="00250698">
      <w:pPr>
        <w:jc w:val="center"/>
        <w:rPr>
          <w:rFonts w:cstheme="minorHAnsi"/>
          <w:bCs/>
          <w:sz w:val="24"/>
          <w:szCs w:val="24"/>
          <w:lang w:val="es-ES"/>
        </w:rPr>
      </w:pPr>
      <w:r w:rsidRPr="00C316F8">
        <w:rPr>
          <w:rFonts w:cstheme="minorHAnsi"/>
          <w:bCs/>
          <w:sz w:val="24"/>
          <w:szCs w:val="24"/>
          <w:lang w:val="es-ES"/>
        </w:rPr>
        <w:t>Facultad de Ciencias Naturales e Ingeniería</w:t>
      </w:r>
    </w:p>
    <w:p w14:paraId="1D791B89" w14:textId="77777777" w:rsidR="0009732E" w:rsidRPr="00C316F8" w:rsidRDefault="00250698" w:rsidP="00250698">
      <w:pPr>
        <w:jc w:val="center"/>
        <w:rPr>
          <w:rFonts w:cstheme="minorHAnsi"/>
          <w:bCs/>
          <w:sz w:val="24"/>
          <w:szCs w:val="24"/>
          <w:lang w:val="es-ES"/>
        </w:rPr>
      </w:pPr>
      <w:r w:rsidRPr="00C316F8">
        <w:rPr>
          <w:rFonts w:cstheme="minorHAnsi"/>
          <w:bCs/>
          <w:sz w:val="24"/>
          <w:szCs w:val="24"/>
          <w:lang w:val="es-ES"/>
        </w:rPr>
        <w:t xml:space="preserve">Doctorado en Modelado en Política y Gestión Pública </w:t>
      </w:r>
    </w:p>
    <w:p w14:paraId="31B1FA79" w14:textId="77777777" w:rsidR="0009732E" w:rsidRPr="00C316F8" w:rsidRDefault="00250698" w:rsidP="00250698">
      <w:pPr>
        <w:jc w:val="center"/>
        <w:rPr>
          <w:rFonts w:cstheme="minorHAnsi"/>
          <w:bCs/>
          <w:sz w:val="24"/>
          <w:szCs w:val="24"/>
          <w:lang w:val="es-ES"/>
        </w:rPr>
      </w:pPr>
      <w:r w:rsidRPr="00C316F8">
        <w:rPr>
          <w:rFonts w:cstheme="minorHAnsi"/>
          <w:bCs/>
          <w:sz w:val="24"/>
          <w:szCs w:val="24"/>
          <w:lang w:val="es-ES"/>
        </w:rPr>
        <w:t>Bogotá,</w:t>
      </w:r>
      <w:r w:rsidR="0009732E" w:rsidRPr="00C316F8">
        <w:rPr>
          <w:rFonts w:cstheme="minorHAnsi"/>
          <w:bCs/>
          <w:sz w:val="24"/>
          <w:szCs w:val="24"/>
          <w:lang w:val="es-ES"/>
        </w:rPr>
        <w:t xml:space="preserve"> </w:t>
      </w:r>
      <w:r w:rsidRPr="00C316F8">
        <w:rPr>
          <w:rFonts w:cstheme="minorHAnsi"/>
          <w:bCs/>
          <w:sz w:val="24"/>
          <w:szCs w:val="24"/>
          <w:lang w:val="es-ES"/>
        </w:rPr>
        <w:t xml:space="preserve">Colombia </w:t>
      </w:r>
    </w:p>
    <w:p w14:paraId="656E2B38" w14:textId="27F5A446" w:rsidR="00A23DD7" w:rsidRPr="00C316F8" w:rsidRDefault="00250698" w:rsidP="00250698">
      <w:pPr>
        <w:jc w:val="center"/>
        <w:rPr>
          <w:rFonts w:cstheme="minorHAnsi"/>
          <w:bCs/>
          <w:sz w:val="24"/>
          <w:szCs w:val="24"/>
          <w:lang w:val="es-ES"/>
        </w:rPr>
      </w:pPr>
      <w:r w:rsidRPr="00C316F8">
        <w:rPr>
          <w:rFonts w:cstheme="minorHAnsi"/>
          <w:bCs/>
          <w:sz w:val="24"/>
          <w:szCs w:val="24"/>
          <w:lang w:val="es-ES"/>
        </w:rPr>
        <w:t>2025</w:t>
      </w:r>
    </w:p>
    <w:p w14:paraId="15ABD804" w14:textId="0A5C0448" w:rsidR="00A23DD7" w:rsidRPr="00C316F8" w:rsidRDefault="00A23DD7" w:rsidP="00DF4E20">
      <w:pPr>
        <w:rPr>
          <w:rFonts w:cstheme="minorHAnsi"/>
          <w:bCs/>
          <w:sz w:val="24"/>
          <w:szCs w:val="24"/>
          <w:lang w:val="es-ES"/>
        </w:rPr>
      </w:pPr>
      <w:r w:rsidRPr="00C316F8">
        <w:rPr>
          <w:rFonts w:cstheme="minorHAnsi"/>
          <w:bCs/>
          <w:sz w:val="24"/>
          <w:szCs w:val="24"/>
          <w:lang w:val="es-ES"/>
        </w:rPr>
        <w:br w:type="page"/>
      </w:r>
      <w:r w:rsidR="00EF6673" w:rsidRPr="00C316F8">
        <w:rPr>
          <w:rFonts w:cstheme="minorHAnsi"/>
          <w:noProof/>
          <w:sz w:val="24"/>
          <w:szCs w:val="24"/>
        </w:rPr>
        <w:lastRenderedPageBreak/>
        <w:drawing>
          <wp:inline distT="0" distB="0" distL="0" distR="0" wp14:anchorId="071CFB9A" wp14:editId="7DECF452">
            <wp:extent cx="2780030" cy="1638300"/>
            <wp:effectExtent l="0" t="0" r="1270" b="0"/>
            <wp:docPr id="1291545827" name="Imagen 1291545827"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10;&#10;Descripción generada automáticamente con confianza med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80030" cy="1638300"/>
                    </a:xfrm>
                    <a:prstGeom prst="rect">
                      <a:avLst/>
                    </a:prstGeom>
                    <a:noFill/>
                    <a:ln>
                      <a:noFill/>
                    </a:ln>
                  </pic:spPr>
                </pic:pic>
              </a:graphicData>
            </a:graphic>
          </wp:inline>
        </w:drawing>
      </w:r>
    </w:p>
    <w:p w14:paraId="6191B216" w14:textId="77777777" w:rsidR="00DF4E20" w:rsidRPr="00C316F8" w:rsidRDefault="00DF4E20" w:rsidP="00EF6673">
      <w:pPr>
        <w:jc w:val="center"/>
        <w:rPr>
          <w:rFonts w:cstheme="minorHAnsi"/>
          <w:bCs/>
          <w:sz w:val="24"/>
          <w:szCs w:val="24"/>
          <w:lang w:val="es-ES"/>
        </w:rPr>
      </w:pPr>
    </w:p>
    <w:p w14:paraId="2F346651" w14:textId="77777777" w:rsidR="00EF6673" w:rsidRPr="00C316F8" w:rsidRDefault="00EF6673" w:rsidP="00DF4E20">
      <w:pPr>
        <w:rPr>
          <w:rFonts w:cstheme="minorHAnsi"/>
          <w:bCs/>
          <w:sz w:val="24"/>
          <w:szCs w:val="24"/>
          <w:lang w:val="es-ES"/>
        </w:rPr>
      </w:pPr>
      <w:r w:rsidRPr="00C316F8">
        <w:rPr>
          <w:rFonts w:cstheme="minorHAnsi"/>
          <w:bCs/>
          <w:sz w:val="24"/>
          <w:szCs w:val="24"/>
          <w:lang w:val="es-ES"/>
        </w:rPr>
        <w:t xml:space="preserve">Universidad de Bogotá Jorge Tadeo Lozano </w:t>
      </w:r>
    </w:p>
    <w:p w14:paraId="7FC3DD0C" w14:textId="77777777" w:rsidR="00EF6673" w:rsidRPr="00C316F8" w:rsidRDefault="00EF6673" w:rsidP="00DF4E20">
      <w:pPr>
        <w:rPr>
          <w:rFonts w:cstheme="minorHAnsi"/>
          <w:bCs/>
          <w:sz w:val="24"/>
          <w:szCs w:val="24"/>
          <w:lang w:val="es-ES"/>
        </w:rPr>
      </w:pPr>
      <w:r w:rsidRPr="00C316F8">
        <w:rPr>
          <w:rFonts w:cstheme="minorHAnsi"/>
          <w:bCs/>
          <w:sz w:val="24"/>
          <w:szCs w:val="24"/>
          <w:lang w:val="es-ES"/>
        </w:rPr>
        <w:t xml:space="preserve">Facultad de Ciencias Naturales e Ingeniería </w:t>
      </w:r>
    </w:p>
    <w:p w14:paraId="6F99889C" w14:textId="77777777" w:rsidR="00EF6673" w:rsidRPr="00C316F8" w:rsidRDefault="00EF6673" w:rsidP="00DF4E20">
      <w:pPr>
        <w:rPr>
          <w:rFonts w:cstheme="minorHAnsi"/>
          <w:bCs/>
          <w:sz w:val="24"/>
          <w:szCs w:val="24"/>
          <w:lang w:val="es-ES"/>
        </w:rPr>
      </w:pPr>
      <w:r w:rsidRPr="00C316F8">
        <w:rPr>
          <w:rFonts w:cstheme="minorHAnsi"/>
          <w:bCs/>
          <w:sz w:val="24"/>
          <w:szCs w:val="24"/>
          <w:lang w:val="es-ES"/>
        </w:rPr>
        <w:t xml:space="preserve">Doctorado en Modelado en Política y Gestión Pública </w:t>
      </w:r>
    </w:p>
    <w:p w14:paraId="64652DDF" w14:textId="77777777" w:rsidR="00DF4E20" w:rsidRPr="00C316F8" w:rsidRDefault="00DF4E20" w:rsidP="00DF4E20">
      <w:pPr>
        <w:rPr>
          <w:rFonts w:cstheme="minorHAnsi"/>
          <w:bCs/>
          <w:sz w:val="24"/>
          <w:szCs w:val="24"/>
          <w:lang w:val="es-ES"/>
        </w:rPr>
      </w:pPr>
    </w:p>
    <w:p w14:paraId="34428E75" w14:textId="77777777" w:rsidR="00DF4E20" w:rsidRPr="00C316F8" w:rsidRDefault="00DF4E20" w:rsidP="00DF4E20">
      <w:pPr>
        <w:rPr>
          <w:rFonts w:cstheme="minorHAnsi"/>
          <w:bCs/>
          <w:sz w:val="24"/>
          <w:szCs w:val="24"/>
          <w:lang w:val="es-ES"/>
        </w:rPr>
      </w:pPr>
    </w:p>
    <w:p w14:paraId="16B2EC4F" w14:textId="77777777" w:rsidR="00DF4E20" w:rsidRPr="00C316F8" w:rsidRDefault="00EF6673" w:rsidP="00DF4E20">
      <w:pPr>
        <w:rPr>
          <w:rFonts w:cstheme="minorHAnsi"/>
          <w:bCs/>
          <w:sz w:val="24"/>
          <w:szCs w:val="24"/>
          <w:lang w:val="es-ES"/>
        </w:rPr>
      </w:pPr>
      <w:r w:rsidRPr="00C316F8">
        <w:rPr>
          <w:rFonts w:cstheme="minorHAnsi"/>
          <w:bCs/>
          <w:sz w:val="24"/>
          <w:szCs w:val="24"/>
          <w:lang w:val="es-ES"/>
        </w:rPr>
        <w:t xml:space="preserve">Factores sociales y económicos asociados a mortalidad por covid-19 en territorios de </w:t>
      </w:r>
    </w:p>
    <w:p w14:paraId="45992642" w14:textId="7642EB7B" w:rsidR="00EF6673" w:rsidRPr="00C316F8" w:rsidRDefault="00DF4E20" w:rsidP="00DF4E20">
      <w:pPr>
        <w:rPr>
          <w:rFonts w:cstheme="minorHAnsi"/>
          <w:bCs/>
          <w:sz w:val="24"/>
          <w:szCs w:val="24"/>
          <w:lang w:val="es-ES"/>
        </w:rPr>
      </w:pPr>
      <w:r w:rsidRPr="00C316F8">
        <w:rPr>
          <w:rFonts w:cstheme="minorHAnsi"/>
          <w:bCs/>
          <w:sz w:val="24"/>
          <w:szCs w:val="24"/>
          <w:lang w:val="es-ES"/>
        </w:rPr>
        <w:t>Colombia</w:t>
      </w:r>
      <w:r w:rsidR="00EF6673" w:rsidRPr="00C316F8">
        <w:rPr>
          <w:rFonts w:cstheme="minorHAnsi"/>
          <w:bCs/>
          <w:sz w:val="24"/>
          <w:szCs w:val="24"/>
          <w:lang w:val="es-ES"/>
        </w:rPr>
        <w:t xml:space="preserve"> 2020-2022</w:t>
      </w:r>
    </w:p>
    <w:p w14:paraId="17870EA2" w14:textId="77777777" w:rsidR="00DF4E20" w:rsidRPr="00C316F8" w:rsidRDefault="00DF4E20" w:rsidP="00DF4E20">
      <w:pPr>
        <w:rPr>
          <w:rFonts w:cstheme="minorHAnsi"/>
          <w:bCs/>
          <w:sz w:val="24"/>
          <w:szCs w:val="24"/>
          <w:lang w:val="es-ES"/>
        </w:rPr>
      </w:pPr>
    </w:p>
    <w:p w14:paraId="16320A9C" w14:textId="77777777" w:rsidR="00DF4E20" w:rsidRPr="00C316F8" w:rsidRDefault="00DF4E20" w:rsidP="00DF4E20">
      <w:pPr>
        <w:rPr>
          <w:rFonts w:cstheme="minorHAnsi"/>
          <w:bCs/>
          <w:sz w:val="24"/>
          <w:szCs w:val="24"/>
          <w:lang w:val="es-ES"/>
        </w:rPr>
      </w:pPr>
    </w:p>
    <w:p w14:paraId="7025A6D4" w14:textId="77777777" w:rsidR="00EF6673" w:rsidRPr="00C316F8" w:rsidRDefault="00EF6673" w:rsidP="00DF4E20">
      <w:pPr>
        <w:rPr>
          <w:rFonts w:cstheme="minorHAnsi"/>
          <w:bCs/>
          <w:sz w:val="24"/>
          <w:szCs w:val="24"/>
          <w:lang w:val="es-ES"/>
        </w:rPr>
      </w:pPr>
      <w:r w:rsidRPr="00C316F8">
        <w:rPr>
          <w:rFonts w:cstheme="minorHAnsi"/>
          <w:bCs/>
          <w:sz w:val="24"/>
          <w:szCs w:val="24"/>
          <w:lang w:val="es-ES"/>
        </w:rPr>
        <w:t xml:space="preserve">Claudia Inés Birchenall Jiménez, Investigadora Principal. </w:t>
      </w:r>
    </w:p>
    <w:p w14:paraId="76CDEB8A" w14:textId="77777777" w:rsidR="00DF4E20" w:rsidRPr="00C316F8" w:rsidRDefault="00DF4E20" w:rsidP="00DF4E20">
      <w:pPr>
        <w:rPr>
          <w:rFonts w:cstheme="minorHAnsi"/>
          <w:bCs/>
          <w:sz w:val="24"/>
          <w:szCs w:val="24"/>
          <w:lang w:val="es-ES"/>
        </w:rPr>
      </w:pPr>
    </w:p>
    <w:p w14:paraId="233D880C" w14:textId="77777777" w:rsidR="00517DE9" w:rsidRPr="00C316F8" w:rsidRDefault="00517DE9" w:rsidP="00DF4E20">
      <w:pPr>
        <w:rPr>
          <w:rFonts w:cstheme="minorHAnsi"/>
          <w:bCs/>
          <w:sz w:val="24"/>
          <w:szCs w:val="24"/>
          <w:lang w:val="es-ES"/>
        </w:rPr>
      </w:pPr>
    </w:p>
    <w:p w14:paraId="7E59C3A7" w14:textId="189DBFA5" w:rsidR="00EF6673" w:rsidRPr="00C316F8" w:rsidRDefault="00EF6673" w:rsidP="00DF4E20">
      <w:pPr>
        <w:rPr>
          <w:rFonts w:cstheme="minorHAnsi"/>
          <w:bCs/>
          <w:sz w:val="24"/>
          <w:szCs w:val="24"/>
          <w:lang w:val="es-ES"/>
        </w:rPr>
      </w:pPr>
      <w:r w:rsidRPr="00C316F8">
        <w:rPr>
          <w:rFonts w:cstheme="minorHAnsi"/>
          <w:bCs/>
          <w:sz w:val="24"/>
          <w:szCs w:val="24"/>
          <w:lang w:val="es-ES"/>
        </w:rPr>
        <w:t xml:space="preserve">Wilson Giovanni Jiménez Barbosa, Director de Investigación. </w:t>
      </w:r>
    </w:p>
    <w:p w14:paraId="796E2C85" w14:textId="3EC315EA" w:rsidR="00EF6673" w:rsidRPr="00C316F8" w:rsidRDefault="00EF6673" w:rsidP="00DF4E20">
      <w:pPr>
        <w:rPr>
          <w:rFonts w:cstheme="minorHAnsi"/>
          <w:bCs/>
          <w:sz w:val="24"/>
          <w:szCs w:val="24"/>
          <w:lang w:val="es-ES"/>
        </w:rPr>
      </w:pPr>
      <w:r w:rsidRPr="00C316F8">
        <w:rPr>
          <w:rFonts w:cstheme="minorHAnsi"/>
          <w:bCs/>
          <w:sz w:val="24"/>
          <w:szCs w:val="24"/>
          <w:lang w:val="es-ES"/>
        </w:rPr>
        <w:t>Javier Riascos Ochoa, Director de Investigación.</w:t>
      </w:r>
    </w:p>
    <w:p w14:paraId="141713E5" w14:textId="77777777" w:rsidR="00EF6673" w:rsidRPr="00C316F8" w:rsidRDefault="00EF6673" w:rsidP="00DF4E20">
      <w:pPr>
        <w:rPr>
          <w:rFonts w:cstheme="minorHAnsi"/>
          <w:bCs/>
          <w:sz w:val="24"/>
          <w:szCs w:val="24"/>
          <w:lang w:val="es-ES"/>
        </w:rPr>
      </w:pPr>
    </w:p>
    <w:p w14:paraId="1F0733F3" w14:textId="77777777" w:rsidR="00DF4E20" w:rsidRPr="00C316F8" w:rsidRDefault="00DF4E20" w:rsidP="00DF4E20">
      <w:pPr>
        <w:rPr>
          <w:rFonts w:cstheme="minorHAnsi"/>
          <w:bCs/>
          <w:sz w:val="24"/>
          <w:szCs w:val="24"/>
          <w:lang w:val="es-ES"/>
        </w:rPr>
      </w:pPr>
    </w:p>
    <w:p w14:paraId="65DB4512" w14:textId="2AE51288" w:rsidR="005B6B2D" w:rsidRPr="00C316F8" w:rsidRDefault="00EF6673" w:rsidP="00DF4E20">
      <w:pPr>
        <w:rPr>
          <w:rFonts w:cstheme="minorHAnsi"/>
          <w:bCs/>
          <w:sz w:val="24"/>
          <w:szCs w:val="24"/>
          <w:lang w:val="es-ES"/>
        </w:rPr>
      </w:pPr>
      <w:r w:rsidRPr="00C316F8">
        <w:rPr>
          <w:rFonts w:cstheme="minorHAnsi"/>
          <w:bCs/>
          <w:sz w:val="24"/>
          <w:szCs w:val="24"/>
          <w:lang w:val="es-ES"/>
        </w:rPr>
        <w:t>Bogotá, 202</w:t>
      </w:r>
      <w:r w:rsidR="00DF4E20" w:rsidRPr="00C316F8">
        <w:rPr>
          <w:rFonts w:cstheme="minorHAnsi"/>
          <w:bCs/>
          <w:sz w:val="24"/>
          <w:szCs w:val="24"/>
          <w:lang w:val="es-ES"/>
        </w:rPr>
        <w:t>5</w:t>
      </w:r>
    </w:p>
    <w:p w14:paraId="2A50F5D2" w14:textId="77777777" w:rsidR="006279D8" w:rsidRPr="00C316F8" w:rsidRDefault="006279D8">
      <w:pPr>
        <w:rPr>
          <w:rFonts w:cstheme="minorHAnsi"/>
          <w:sz w:val="24"/>
          <w:szCs w:val="24"/>
          <w:lang w:val="es-CO"/>
        </w:rPr>
      </w:pPr>
      <w:r w:rsidRPr="00C316F8">
        <w:rPr>
          <w:rFonts w:cstheme="minorHAnsi"/>
          <w:sz w:val="24"/>
          <w:szCs w:val="24"/>
          <w:lang w:val="es-CO"/>
        </w:rPr>
        <w:br w:type="page"/>
      </w:r>
    </w:p>
    <w:p w14:paraId="2FC19CEC" w14:textId="1959EFCB" w:rsidR="00A74DE2" w:rsidRPr="00C316F8" w:rsidRDefault="001055BA" w:rsidP="009114AE">
      <w:pPr>
        <w:jc w:val="right"/>
        <w:rPr>
          <w:rFonts w:cstheme="minorHAnsi"/>
          <w:sz w:val="24"/>
          <w:szCs w:val="24"/>
          <w:lang w:val="es-CO"/>
        </w:rPr>
      </w:pPr>
      <w:r w:rsidRPr="00C316F8">
        <w:rPr>
          <w:rFonts w:cstheme="minorHAnsi"/>
          <w:sz w:val="24"/>
          <w:szCs w:val="24"/>
          <w:lang w:val="es-CO"/>
        </w:rPr>
        <w:lastRenderedPageBreak/>
        <w:t>NOTA DE APROBACIÓN _______________________________________________________ _______________________________________________________ _______________________________________________________</w:t>
      </w:r>
    </w:p>
    <w:p w14:paraId="341678E0" w14:textId="77777777" w:rsidR="00A74DE2" w:rsidRPr="00C316F8" w:rsidRDefault="001055BA" w:rsidP="00A74DE2">
      <w:pPr>
        <w:jc w:val="right"/>
        <w:rPr>
          <w:rFonts w:cstheme="minorHAnsi"/>
          <w:sz w:val="24"/>
          <w:szCs w:val="24"/>
          <w:lang w:val="es-CO"/>
        </w:rPr>
      </w:pPr>
      <w:r w:rsidRPr="00C316F8">
        <w:rPr>
          <w:rFonts w:cstheme="minorHAnsi"/>
          <w:sz w:val="24"/>
          <w:szCs w:val="24"/>
          <w:lang w:val="es-CO"/>
        </w:rPr>
        <w:t xml:space="preserve"> Director de Investigación</w:t>
      </w:r>
    </w:p>
    <w:p w14:paraId="5765324B" w14:textId="60475384" w:rsidR="005C2067" w:rsidRPr="00C316F8" w:rsidRDefault="005C2067" w:rsidP="00A74DE2">
      <w:pPr>
        <w:jc w:val="right"/>
        <w:rPr>
          <w:rFonts w:cstheme="minorHAnsi"/>
          <w:sz w:val="24"/>
          <w:szCs w:val="24"/>
          <w:lang w:val="es-CO"/>
        </w:rPr>
      </w:pPr>
      <w:r w:rsidRPr="00C316F8">
        <w:rPr>
          <w:rFonts w:cstheme="minorHAnsi"/>
          <w:sz w:val="24"/>
          <w:szCs w:val="24"/>
          <w:lang w:val="es-CO"/>
        </w:rPr>
        <w:t>_______________________________________________________</w:t>
      </w:r>
    </w:p>
    <w:p w14:paraId="5099B887" w14:textId="77777777" w:rsidR="00015CF2" w:rsidRPr="00C316F8" w:rsidRDefault="005C2067" w:rsidP="00A74DE2">
      <w:pPr>
        <w:jc w:val="right"/>
        <w:rPr>
          <w:rFonts w:cstheme="minorHAnsi"/>
          <w:sz w:val="24"/>
          <w:szCs w:val="24"/>
          <w:lang w:val="es-CO"/>
        </w:rPr>
      </w:pPr>
      <w:r w:rsidRPr="00C316F8">
        <w:rPr>
          <w:rFonts w:cstheme="minorHAnsi"/>
          <w:sz w:val="24"/>
          <w:szCs w:val="24"/>
          <w:lang w:val="es-CO"/>
        </w:rPr>
        <w:t>Decano de la Facultad de</w:t>
      </w:r>
      <w:r w:rsidR="001055BA" w:rsidRPr="00C316F8">
        <w:rPr>
          <w:rFonts w:cstheme="minorHAnsi"/>
          <w:sz w:val="24"/>
          <w:szCs w:val="24"/>
          <w:lang w:val="es-CO"/>
        </w:rPr>
        <w:t xml:space="preserve"> Ciencias Naturales e Ingeniería</w:t>
      </w:r>
    </w:p>
    <w:p w14:paraId="6E4119ED" w14:textId="528C793B" w:rsidR="00015CF2" w:rsidRPr="00C316F8" w:rsidRDefault="00015CF2" w:rsidP="00A74DE2">
      <w:pPr>
        <w:jc w:val="right"/>
        <w:rPr>
          <w:rFonts w:cstheme="minorHAnsi"/>
          <w:sz w:val="24"/>
          <w:szCs w:val="24"/>
          <w:lang w:val="es-CO"/>
        </w:rPr>
      </w:pPr>
      <w:r w:rsidRPr="00C316F8">
        <w:rPr>
          <w:rFonts w:cstheme="minorHAnsi"/>
          <w:sz w:val="24"/>
          <w:szCs w:val="24"/>
          <w:lang w:val="es-CO"/>
        </w:rPr>
        <w:t>_______________________________________________________</w:t>
      </w:r>
    </w:p>
    <w:p w14:paraId="3096D695" w14:textId="77777777" w:rsidR="00015CF2" w:rsidRPr="00C316F8" w:rsidRDefault="001055BA" w:rsidP="00A74DE2">
      <w:pPr>
        <w:jc w:val="right"/>
        <w:rPr>
          <w:rFonts w:cstheme="minorHAnsi"/>
          <w:sz w:val="24"/>
          <w:szCs w:val="24"/>
          <w:lang w:val="es-CO"/>
        </w:rPr>
      </w:pPr>
      <w:r w:rsidRPr="00C316F8">
        <w:rPr>
          <w:rFonts w:cstheme="minorHAnsi"/>
          <w:sz w:val="24"/>
          <w:szCs w:val="24"/>
          <w:lang w:val="es-CO"/>
        </w:rPr>
        <w:t>Director Doctorado en Modelado en Política y Gestión Pública</w:t>
      </w:r>
    </w:p>
    <w:p w14:paraId="58EE7EFA" w14:textId="508A1935" w:rsidR="00015CF2" w:rsidRPr="00C316F8" w:rsidRDefault="00015CF2" w:rsidP="00A74DE2">
      <w:pPr>
        <w:jc w:val="right"/>
        <w:rPr>
          <w:rFonts w:cstheme="minorHAnsi"/>
          <w:sz w:val="24"/>
          <w:szCs w:val="24"/>
          <w:lang w:val="es-CO"/>
        </w:rPr>
      </w:pPr>
      <w:r w:rsidRPr="00C316F8">
        <w:rPr>
          <w:rFonts w:cstheme="minorHAnsi"/>
          <w:sz w:val="24"/>
          <w:szCs w:val="24"/>
          <w:lang w:val="es-CO"/>
        </w:rPr>
        <w:t>_______________________________________________________</w:t>
      </w:r>
    </w:p>
    <w:p w14:paraId="54015BCB" w14:textId="77777777" w:rsidR="00015CF2" w:rsidRPr="00C316F8" w:rsidRDefault="001055BA" w:rsidP="00A74DE2">
      <w:pPr>
        <w:jc w:val="right"/>
        <w:rPr>
          <w:rFonts w:cstheme="minorHAnsi"/>
          <w:sz w:val="24"/>
          <w:szCs w:val="24"/>
          <w:lang w:val="es-CO"/>
        </w:rPr>
      </w:pPr>
      <w:r w:rsidRPr="00C316F8">
        <w:rPr>
          <w:rFonts w:cstheme="minorHAnsi"/>
          <w:sz w:val="24"/>
          <w:szCs w:val="24"/>
          <w:lang w:val="es-CO"/>
        </w:rPr>
        <w:t>Jurado</w:t>
      </w:r>
    </w:p>
    <w:p w14:paraId="104EAF8D" w14:textId="532B6837" w:rsidR="0032533A" w:rsidRPr="00C316F8" w:rsidRDefault="001055BA" w:rsidP="00A74DE2">
      <w:pPr>
        <w:jc w:val="right"/>
        <w:rPr>
          <w:rFonts w:cstheme="minorHAnsi"/>
          <w:sz w:val="24"/>
          <w:szCs w:val="24"/>
          <w:lang w:val="es-CO"/>
        </w:rPr>
      </w:pPr>
      <w:r w:rsidRPr="00C316F8">
        <w:rPr>
          <w:rFonts w:cstheme="minorHAnsi"/>
          <w:sz w:val="24"/>
          <w:szCs w:val="24"/>
          <w:lang w:val="es-CO"/>
        </w:rPr>
        <w:t>_______________________________________________________</w:t>
      </w:r>
    </w:p>
    <w:p w14:paraId="14E2C2FE" w14:textId="77777777" w:rsidR="00015CF2" w:rsidRPr="00C316F8" w:rsidRDefault="00015CF2" w:rsidP="00015CF2">
      <w:pPr>
        <w:jc w:val="right"/>
        <w:rPr>
          <w:rFonts w:cstheme="minorHAnsi"/>
          <w:sz w:val="24"/>
          <w:szCs w:val="24"/>
          <w:lang w:val="es-CO"/>
        </w:rPr>
      </w:pPr>
      <w:r w:rsidRPr="00C316F8">
        <w:rPr>
          <w:rFonts w:cstheme="minorHAnsi"/>
          <w:sz w:val="24"/>
          <w:szCs w:val="24"/>
          <w:lang w:val="es-CO"/>
        </w:rPr>
        <w:t>Jurado</w:t>
      </w:r>
    </w:p>
    <w:p w14:paraId="5A5F459E" w14:textId="77777777" w:rsidR="00015CF2" w:rsidRPr="00C316F8" w:rsidRDefault="00015CF2" w:rsidP="00015CF2">
      <w:pPr>
        <w:jc w:val="right"/>
        <w:rPr>
          <w:rFonts w:cstheme="minorHAnsi"/>
          <w:sz w:val="24"/>
          <w:szCs w:val="24"/>
          <w:lang w:val="es-CO"/>
        </w:rPr>
      </w:pPr>
      <w:r w:rsidRPr="00C316F8">
        <w:rPr>
          <w:rFonts w:cstheme="minorHAnsi"/>
          <w:sz w:val="24"/>
          <w:szCs w:val="24"/>
          <w:lang w:val="es-CO"/>
        </w:rPr>
        <w:t>_______________________________________________________</w:t>
      </w:r>
    </w:p>
    <w:p w14:paraId="09E64E32" w14:textId="77777777" w:rsidR="00015CF2" w:rsidRPr="00C316F8" w:rsidRDefault="00015CF2" w:rsidP="00015CF2">
      <w:pPr>
        <w:jc w:val="right"/>
        <w:rPr>
          <w:rFonts w:cstheme="minorHAnsi"/>
          <w:sz w:val="24"/>
          <w:szCs w:val="24"/>
          <w:lang w:val="es-CO"/>
        </w:rPr>
      </w:pPr>
      <w:r w:rsidRPr="00C316F8">
        <w:rPr>
          <w:rFonts w:cstheme="minorHAnsi"/>
          <w:sz w:val="24"/>
          <w:szCs w:val="24"/>
          <w:lang w:val="es-CO"/>
        </w:rPr>
        <w:t>Jurado</w:t>
      </w:r>
    </w:p>
    <w:p w14:paraId="635290EE" w14:textId="77777777" w:rsidR="00015CF2" w:rsidRPr="00C316F8" w:rsidRDefault="00015CF2" w:rsidP="00015CF2">
      <w:pPr>
        <w:jc w:val="right"/>
        <w:rPr>
          <w:rFonts w:cstheme="minorHAnsi"/>
          <w:sz w:val="24"/>
          <w:szCs w:val="24"/>
          <w:lang w:val="es-CO"/>
        </w:rPr>
      </w:pPr>
      <w:r w:rsidRPr="00C316F8">
        <w:rPr>
          <w:rFonts w:cstheme="minorHAnsi"/>
          <w:sz w:val="24"/>
          <w:szCs w:val="24"/>
          <w:lang w:val="es-CO"/>
        </w:rPr>
        <w:t>_______________________________________________________</w:t>
      </w:r>
    </w:p>
    <w:p w14:paraId="7B2EE2D8" w14:textId="77777777" w:rsidR="00D92F46" w:rsidRPr="00C316F8" w:rsidRDefault="00D92F46">
      <w:pPr>
        <w:rPr>
          <w:rFonts w:cstheme="minorHAnsi"/>
          <w:sz w:val="24"/>
          <w:szCs w:val="24"/>
          <w:lang w:val="es-CO"/>
        </w:rPr>
      </w:pPr>
      <w:r w:rsidRPr="00C316F8">
        <w:rPr>
          <w:rFonts w:cstheme="minorHAnsi"/>
          <w:sz w:val="24"/>
          <w:szCs w:val="24"/>
          <w:lang w:val="es-CO"/>
        </w:rPr>
        <w:br w:type="page"/>
      </w:r>
    </w:p>
    <w:p w14:paraId="4C72FECB" w14:textId="2AA4CC52" w:rsidR="00D92F46" w:rsidRPr="00C316F8" w:rsidRDefault="00A25676" w:rsidP="00A47D86">
      <w:pPr>
        <w:pStyle w:val="Ttulo1"/>
        <w:jc w:val="center"/>
        <w:rPr>
          <w:lang w:val="es-CO"/>
        </w:rPr>
      </w:pPr>
      <w:bookmarkStart w:id="0" w:name="_Toc229834622"/>
      <w:r w:rsidRPr="00C316F8">
        <w:rPr>
          <w:lang w:val="es-CO"/>
        </w:rPr>
        <w:lastRenderedPageBreak/>
        <w:t>SALVEDAD DE RESPONSABILIDAD INSTITUCIONAL</w:t>
      </w:r>
      <w:bookmarkEnd w:id="0"/>
    </w:p>
    <w:p w14:paraId="5211605F" w14:textId="77777777" w:rsidR="00D92F46" w:rsidRPr="00C316F8" w:rsidRDefault="00D92F46" w:rsidP="00D92F46">
      <w:pPr>
        <w:jc w:val="both"/>
        <w:rPr>
          <w:rFonts w:cstheme="minorHAnsi"/>
          <w:sz w:val="24"/>
          <w:szCs w:val="24"/>
          <w:lang w:val="es-CO"/>
        </w:rPr>
      </w:pPr>
    </w:p>
    <w:p w14:paraId="6931B5E0" w14:textId="2FEB0F7F" w:rsidR="00F66A0D" w:rsidRPr="00C316F8" w:rsidRDefault="00D92F46" w:rsidP="00D92F46">
      <w:pPr>
        <w:jc w:val="both"/>
        <w:rPr>
          <w:rFonts w:cstheme="minorHAnsi"/>
          <w:sz w:val="24"/>
          <w:szCs w:val="24"/>
          <w:lang w:val="es-CO"/>
        </w:rPr>
      </w:pPr>
      <w:r w:rsidRPr="00C316F8">
        <w:rPr>
          <w:rFonts w:cstheme="minorHAnsi"/>
          <w:sz w:val="24"/>
          <w:szCs w:val="24"/>
          <w:lang w:val="es-CO"/>
        </w:rPr>
        <w:t xml:space="preserve">“La Universidad de Bogotá Jorge Tadeo Lozano, no se hace responsable de los conceptos emitidos por los investigadores en su trabajo; </w:t>
      </w:r>
      <w:r w:rsidR="00712428" w:rsidRPr="00C316F8">
        <w:rPr>
          <w:rFonts w:cstheme="minorHAnsi"/>
          <w:sz w:val="24"/>
          <w:szCs w:val="24"/>
          <w:lang w:val="es-CO"/>
        </w:rPr>
        <w:t>solo</w:t>
      </w:r>
      <w:r w:rsidRPr="00C316F8">
        <w:rPr>
          <w:rFonts w:cstheme="minorHAnsi"/>
          <w:sz w:val="24"/>
          <w:szCs w:val="24"/>
          <w:lang w:val="es-CO"/>
        </w:rPr>
        <w:t xml:space="preserve"> velará por el rigor científico, metodológico y ético del mismo en aras de la búsqueda de la verdad y la justicia”.</w:t>
      </w:r>
      <w:r w:rsidR="003D3F0A" w:rsidRPr="00C316F8">
        <w:rPr>
          <w:rFonts w:cstheme="minorHAnsi"/>
          <w:sz w:val="24"/>
          <w:szCs w:val="24"/>
          <w:lang w:val="es-CO"/>
        </w:rPr>
        <w:t xml:space="preserve"> Se </w:t>
      </w:r>
      <w:r w:rsidR="00DB757B" w:rsidRPr="00C316F8">
        <w:rPr>
          <w:rFonts w:cstheme="minorHAnsi"/>
          <w:sz w:val="24"/>
          <w:szCs w:val="24"/>
          <w:lang w:val="es-CO"/>
        </w:rPr>
        <w:t>usó</w:t>
      </w:r>
      <w:r w:rsidR="003D3F0A" w:rsidRPr="00C316F8">
        <w:rPr>
          <w:rFonts w:cstheme="minorHAnsi"/>
          <w:sz w:val="24"/>
          <w:szCs w:val="24"/>
          <w:lang w:val="es-CO"/>
        </w:rPr>
        <w:t xml:space="preserve"> inteligencia artificial Chatgpt 4 con fines de traducción y corrección de estilo en el documento.</w:t>
      </w:r>
    </w:p>
    <w:p w14:paraId="37F443B1" w14:textId="77777777" w:rsidR="00F66A0D" w:rsidRPr="00C316F8" w:rsidRDefault="00F66A0D">
      <w:pPr>
        <w:rPr>
          <w:rFonts w:cstheme="minorHAnsi"/>
          <w:sz w:val="24"/>
          <w:szCs w:val="24"/>
          <w:lang w:val="es-CO"/>
        </w:rPr>
      </w:pPr>
      <w:r w:rsidRPr="00C316F8">
        <w:rPr>
          <w:rFonts w:cstheme="minorHAnsi"/>
          <w:sz w:val="24"/>
          <w:szCs w:val="24"/>
          <w:lang w:val="es-CO"/>
        </w:rPr>
        <w:br w:type="page"/>
      </w:r>
    </w:p>
    <w:p w14:paraId="20B026E9" w14:textId="77777777" w:rsidR="004429D4" w:rsidRPr="00C316F8" w:rsidRDefault="004429D4" w:rsidP="00A47D86">
      <w:pPr>
        <w:pStyle w:val="Ttulo1"/>
        <w:jc w:val="center"/>
        <w:rPr>
          <w:lang w:val="es-CO"/>
        </w:rPr>
      </w:pPr>
      <w:bookmarkStart w:id="1" w:name="_Toc229834623"/>
      <w:r w:rsidRPr="00C316F8">
        <w:rPr>
          <w:lang w:val="es-CO"/>
        </w:rPr>
        <w:lastRenderedPageBreak/>
        <w:t>DEDICATORIA</w:t>
      </w:r>
      <w:bookmarkEnd w:id="1"/>
    </w:p>
    <w:p w14:paraId="20D187C5" w14:textId="77777777" w:rsidR="004429D4" w:rsidRPr="00C316F8" w:rsidRDefault="004429D4" w:rsidP="004429D4">
      <w:pPr>
        <w:jc w:val="both"/>
        <w:rPr>
          <w:rFonts w:cstheme="minorHAnsi"/>
          <w:sz w:val="24"/>
          <w:szCs w:val="24"/>
          <w:lang w:val="es-CO"/>
        </w:rPr>
      </w:pPr>
    </w:p>
    <w:p w14:paraId="21526337" w14:textId="77777777" w:rsidR="004429D4" w:rsidRPr="00C316F8" w:rsidRDefault="004429D4" w:rsidP="004429D4">
      <w:pPr>
        <w:jc w:val="both"/>
        <w:rPr>
          <w:rFonts w:cstheme="minorHAnsi"/>
          <w:sz w:val="24"/>
          <w:szCs w:val="24"/>
          <w:lang w:val="es-CO"/>
        </w:rPr>
      </w:pPr>
      <w:r w:rsidRPr="00C316F8">
        <w:rPr>
          <w:rFonts w:cstheme="minorHAnsi"/>
          <w:sz w:val="24"/>
          <w:szCs w:val="24"/>
          <w:lang w:val="es-CO"/>
        </w:rPr>
        <w:t>A Dios, fuente de sabiduría y fortaleza, por iluminar cada paso de este camino, por ser mi refugio en los momentos de incertidumbre y por permitirme alcanzar este sueño.</w:t>
      </w:r>
    </w:p>
    <w:p w14:paraId="70B4F5DE" w14:textId="77777777" w:rsidR="004429D4" w:rsidRPr="00C316F8" w:rsidRDefault="004429D4" w:rsidP="004429D4">
      <w:pPr>
        <w:jc w:val="both"/>
        <w:rPr>
          <w:rFonts w:cstheme="minorHAnsi"/>
          <w:sz w:val="24"/>
          <w:szCs w:val="24"/>
          <w:lang w:val="es-CO"/>
        </w:rPr>
      </w:pPr>
    </w:p>
    <w:p w14:paraId="69492B06" w14:textId="77777777" w:rsidR="004429D4" w:rsidRPr="00C316F8" w:rsidRDefault="004429D4" w:rsidP="004429D4">
      <w:pPr>
        <w:jc w:val="both"/>
        <w:rPr>
          <w:rFonts w:cstheme="minorHAnsi"/>
          <w:sz w:val="24"/>
          <w:szCs w:val="24"/>
          <w:lang w:val="es-CO"/>
        </w:rPr>
      </w:pPr>
      <w:r w:rsidRPr="00C316F8">
        <w:rPr>
          <w:rFonts w:cstheme="minorHAnsi"/>
          <w:sz w:val="24"/>
          <w:szCs w:val="24"/>
          <w:lang w:val="es-CO"/>
        </w:rPr>
        <w:t>A mi amado esposo, Jorge Iván Pardo Avella, por ser mi roca inquebrantable. Gracias por tu amor incondicional, por tu paciencia infinita durante las largas noches de escritura y por creer en mí incluso cuando yo dudaba. Este logro es tuyo tanto como mío.</w:t>
      </w:r>
    </w:p>
    <w:p w14:paraId="37047C3E" w14:textId="77777777" w:rsidR="004429D4" w:rsidRPr="00C316F8" w:rsidRDefault="004429D4" w:rsidP="004429D4">
      <w:pPr>
        <w:jc w:val="both"/>
        <w:rPr>
          <w:rFonts w:cstheme="minorHAnsi"/>
          <w:sz w:val="24"/>
          <w:szCs w:val="24"/>
          <w:lang w:val="es-CO"/>
        </w:rPr>
      </w:pPr>
    </w:p>
    <w:p w14:paraId="421F220D" w14:textId="38E8649C" w:rsidR="004429D4" w:rsidRPr="00C316F8" w:rsidRDefault="004429D4" w:rsidP="004429D4">
      <w:pPr>
        <w:jc w:val="both"/>
        <w:rPr>
          <w:rFonts w:cstheme="minorHAnsi"/>
          <w:sz w:val="24"/>
          <w:szCs w:val="24"/>
          <w:lang w:val="es-CO"/>
        </w:rPr>
      </w:pPr>
      <w:r w:rsidRPr="00C316F8">
        <w:rPr>
          <w:rFonts w:cstheme="minorHAnsi"/>
          <w:sz w:val="24"/>
          <w:szCs w:val="24"/>
          <w:lang w:val="es-CO"/>
        </w:rPr>
        <w:t>A mis padres, cuyo sacrificio y enseñanzas forjaron en mí la perseverancia y el deseo de superación. A mis hermanos y sobrinos, por su alegría y apoyo inagotable, recordándome siempre el valor de la familia</w:t>
      </w:r>
      <w:r w:rsidR="000307C7" w:rsidRPr="00C316F8">
        <w:rPr>
          <w:rFonts w:cstheme="minorHAnsi"/>
          <w:sz w:val="24"/>
          <w:szCs w:val="24"/>
          <w:lang w:val="es-CO"/>
        </w:rPr>
        <w:t xml:space="preserve"> y a mi cuñada y cuñado</w:t>
      </w:r>
      <w:r w:rsidRPr="00C316F8">
        <w:rPr>
          <w:rFonts w:cstheme="minorHAnsi"/>
          <w:sz w:val="24"/>
          <w:szCs w:val="24"/>
          <w:lang w:val="es-CO"/>
        </w:rPr>
        <w:t>.</w:t>
      </w:r>
    </w:p>
    <w:p w14:paraId="3F6A2A29" w14:textId="77777777" w:rsidR="004429D4" w:rsidRPr="00C316F8" w:rsidRDefault="004429D4" w:rsidP="004429D4">
      <w:pPr>
        <w:jc w:val="both"/>
        <w:rPr>
          <w:rFonts w:cstheme="minorHAnsi"/>
          <w:sz w:val="24"/>
          <w:szCs w:val="24"/>
          <w:lang w:val="es-CO"/>
        </w:rPr>
      </w:pPr>
    </w:p>
    <w:p w14:paraId="66E02DC6" w14:textId="77777777" w:rsidR="004429D4" w:rsidRPr="00C316F8" w:rsidRDefault="004429D4" w:rsidP="004429D4">
      <w:pPr>
        <w:jc w:val="both"/>
        <w:rPr>
          <w:rFonts w:cstheme="minorHAnsi"/>
          <w:sz w:val="24"/>
          <w:szCs w:val="24"/>
          <w:lang w:val="es-CO"/>
        </w:rPr>
      </w:pPr>
      <w:r w:rsidRPr="00C316F8">
        <w:rPr>
          <w:rFonts w:cstheme="minorHAnsi"/>
          <w:sz w:val="24"/>
          <w:szCs w:val="24"/>
          <w:lang w:val="es-CO"/>
        </w:rPr>
        <w:t>A mi tía Flor, por ser luz en mi vida y por su cariño que trascendió toda distancia.</w:t>
      </w:r>
    </w:p>
    <w:p w14:paraId="4148FEB0" w14:textId="77777777" w:rsidR="004429D4" w:rsidRPr="00C316F8" w:rsidRDefault="004429D4" w:rsidP="004429D4">
      <w:pPr>
        <w:jc w:val="both"/>
        <w:rPr>
          <w:rFonts w:cstheme="minorHAnsi"/>
          <w:sz w:val="24"/>
          <w:szCs w:val="24"/>
          <w:lang w:val="es-CO"/>
        </w:rPr>
      </w:pPr>
    </w:p>
    <w:p w14:paraId="285F8626" w14:textId="77777777" w:rsidR="004429D4" w:rsidRPr="00C316F8" w:rsidRDefault="004429D4" w:rsidP="004429D4">
      <w:pPr>
        <w:jc w:val="both"/>
        <w:rPr>
          <w:rFonts w:cstheme="minorHAnsi"/>
          <w:sz w:val="24"/>
          <w:szCs w:val="24"/>
          <w:lang w:val="es-CO"/>
        </w:rPr>
      </w:pPr>
      <w:r w:rsidRPr="00C316F8">
        <w:rPr>
          <w:rFonts w:cstheme="minorHAnsi"/>
          <w:sz w:val="24"/>
          <w:szCs w:val="24"/>
          <w:lang w:val="es-CO"/>
        </w:rPr>
        <w:t>A cada persona que, de manera directa o indirecta, contribuyó a que este sueño doctoral se hiciera realidad. Esta tesis es el fruto de muchos corazones.</w:t>
      </w:r>
    </w:p>
    <w:p w14:paraId="73AA1BF8" w14:textId="77777777" w:rsidR="004429D4" w:rsidRPr="00C316F8" w:rsidRDefault="004429D4" w:rsidP="004429D4">
      <w:pPr>
        <w:jc w:val="both"/>
        <w:rPr>
          <w:rFonts w:cstheme="minorHAnsi"/>
          <w:sz w:val="24"/>
          <w:szCs w:val="24"/>
          <w:lang w:val="es-CO"/>
        </w:rPr>
      </w:pPr>
    </w:p>
    <w:p w14:paraId="5FFFF3D3" w14:textId="77777777" w:rsidR="004429D4" w:rsidRPr="00C316F8" w:rsidRDefault="004429D4" w:rsidP="004429D4">
      <w:pPr>
        <w:jc w:val="both"/>
        <w:rPr>
          <w:rFonts w:cstheme="minorHAnsi"/>
          <w:sz w:val="24"/>
          <w:szCs w:val="24"/>
          <w:lang w:val="es-CO"/>
        </w:rPr>
      </w:pPr>
      <w:r w:rsidRPr="00C316F8">
        <w:rPr>
          <w:rFonts w:cstheme="minorHAnsi"/>
          <w:sz w:val="24"/>
          <w:szCs w:val="24"/>
          <w:lang w:val="es-CO"/>
        </w:rPr>
        <w:t>“Todo lo puedo en Cristo que me fortalece”</w:t>
      </w:r>
    </w:p>
    <w:p w14:paraId="12B59A95" w14:textId="7939D3DE" w:rsidR="001055BA" w:rsidRPr="00C316F8" w:rsidRDefault="004429D4" w:rsidP="004429D4">
      <w:pPr>
        <w:jc w:val="both"/>
        <w:rPr>
          <w:rFonts w:cstheme="minorHAnsi"/>
          <w:sz w:val="24"/>
          <w:szCs w:val="24"/>
          <w:lang w:val="es-CO"/>
        </w:rPr>
      </w:pPr>
      <w:r w:rsidRPr="00C316F8">
        <w:rPr>
          <w:rFonts w:cstheme="minorHAnsi"/>
          <w:sz w:val="24"/>
          <w:szCs w:val="24"/>
          <w:lang w:val="es-CO"/>
        </w:rPr>
        <w:t>Filipenses 4:13</w:t>
      </w:r>
    </w:p>
    <w:p w14:paraId="376DCCAB" w14:textId="6AF46E7E" w:rsidR="00B13B02" w:rsidRPr="00C316F8" w:rsidRDefault="004429D4" w:rsidP="00A47D86">
      <w:pPr>
        <w:pStyle w:val="Ttulo1"/>
        <w:jc w:val="center"/>
        <w:rPr>
          <w:lang w:val="es-CO"/>
        </w:rPr>
      </w:pPr>
      <w:r w:rsidRPr="00C316F8">
        <w:rPr>
          <w:rFonts w:cstheme="minorHAnsi"/>
          <w:szCs w:val="24"/>
          <w:lang w:val="es-CO"/>
        </w:rPr>
        <w:br w:type="page"/>
      </w:r>
      <w:bookmarkStart w:id="2" w:name="_Toc229834624"/>
      <w:r w:rsidR="00B13B02" w:rsidRPr="00C316F8">
        <w:rPr>
          <w:lang w:val="es-CO"/>
        </w:rPr>
        <w:lastRenderedPageBreak/>
        <w:t>AGRADECIMIENTOS</w:t>
      </w:r>
      <w:bookmarkEnd w:id="2"/>
    </w:p>
    <w:p w14:paraId="0A5188C7" w14:textId="77777777" w:rsidR="00B13B02" w:rsidRPr="00C316F8" w:rsidRDefault="00B13B02" w:rsidP="00B13B02">
      <w:pPr>
        <w:rPr>
          <w:rFonts w:cstheme="minorHAnsi"/>
          <w:sz w:val="24"/>
          <w:szCs w:val="24"/>
          <w:lang w:val="es-CO"/>
        </w:rPr>
      </w:pPr>
    </w:p>
    <w:p w14:paraId="74F8E6CC" w14:textId="77777777" w:rsidR="00B13B02" w:rsidRPr="00C316F8" w:rsidRDefault="00B13B02" w:rsidP="00B13B02">
      <w:pPr>
        <w:jc w:val="both"/>
        <w:rPr>
          <w:rFonts w:cstheme="minorHAnsi"/>
          <w:sz w:val="24"/>
          <w:szCs w:val="24"/>
          <w:lang w:val="es-CO"/>
        </w:rPr>
      </w:pPr>
      <w:r w:rsidRPr="00C316F8">
        <w:rPr>
          <w:rFonts w:cstheme="minorHAnsi"/>
          <w:sz w:val="24"/>
          <w:szCs w:val="24"/>
          <w:lang w:val="es-CO"/>
        </w:rPr>
        <w:t>A Dios, por ser mi guía y fortaleza en este camino, por darme sabiduría y perseverancia para culminar este logro académico.</w:t>
      </w:r>
    </w:p>
    <w:p w14:paraId="0BBB1C45" w14:textId="77777777" w:rsidR="00B13B02" w:rsidRPr="00C316F8" w:rsidRDefault="00B13B02" w:rsidP="00B13B02">
      <w:pPr>
        <w:jc w:val="both"/>
        <w:rPr>
          <w:rFonts w:cstheme="minorHAnsi"/>
          <w:sz w:val="24"/>
          <w:szCs w:val="24"/>
          <w:lang w:val="es-CO"/>
        </w:rPr>
      </w:pPr>
    </w:p>
    <w:p w14:paraId="243835CB" w14:textId="77777777" w:rsidR="00B13B02" w:rsidRPr="00C316F8" w:rsidRDefault="00B13B02" w:rsidP="00B13B02">
      <w:pPr>
        <w:jc w:val="both"/>
        <w:rPr>
          <w:rFonts w:cstheme="minorHAnsi"/>
          <w:sz w:val="24"/>
          <w:szCs w:val="24"/>
          <w:lang w:val="es-CO"/>
        </w:rPr>
      </w:pPr>
      <w:r w:rsidRPr="00C316F8">
        <w:rPr>
          <w:rFonts w:cstheme="minorHAnsi"/>
          <w:sz w:val="24"/>
          <w:szCs w:val="24"/>
          <w:lang w:val="es-CO"/>
        </w:rPr>
        <w:t>A mi familia, por su amor incondicional, su paciencia y apoyo durante todos estos años de estudio. Su presencia fue fundamental en los momentos más desafiantes.</w:t>
      </w:r>
    </w:p>
    <w:p w14:paraId="1B748577" w14:textId="77777777" w:rsidR="00B13B02" w:rsidRPr="00C316F8" w:rsidRDefault="00B13B02" w:rsidP="00B13B02">
      <w:pPr>
        <w:jc w:val="both"/>
        <w:rPr>
          <w:rFonts w:cstheme="minorHAnsi"/>
          <w:sz w:val="24"/>
          <w:szCs w:val="24"/>
          <w:lang w:val="es-CO"/>
        </w:rPr>
      </w:pPr>
    </w:p>
    <w:p w14:paraId="6030DC1A" w14:textId="77777777" w:rsidR="00B13B02" w:rsidRPr="00C316F8" w:rsidRDefault="00B13B02" w:rsidP="00B13B02">
      <w:pPr>
        <w:jc w:val="both"/>
        <w:rPr>
          <w:rFonts w:cstheme="minorHAnsi"/>
          <w:sz w:val="24"/>
          <w:szCs w:val="24"/>
          <w:lang w:val="es-CO"/>
        </w:rPr>
      </w:pPr>
      <w:r w:rsidRPr="00C316F8">
        <w:rPr>
          <w:rFonts w:cstheme="minorHAnsi"/>
          <w:sz w:val="24"/>
          <w:szCs w:val="24"/>
          <w:lang w:val="es-CO"/>
        </w:rPr>
        <w:t>Un profundo agradecimiento a mis directores de tesis, Dr. Wilson Giovanni Jiménez Barbosa y Dr. Javier Riascos, por su invaluable orientación académica, sus aportes críticos y su acompañamiento constante durante este proceso. Su mentoría fue clave para el desarrollo de esta investigación.</w:t>
      </w:r>
    </w:p>
    <w:p w14:paraId="4D78C249" w14:textId="77777777" w:rsidR="00B13B02" w:rsidRPr="00C316F8" w:rsidRDefault="00B13B02" w:rsidP="00B13B02">
      <w:pPr>
        <w:jc w:val="both"/>
        <w:rPr>
          <w:rFonts w:cstheme="minorHAnsi"/>
          <w:sz w:val="24"/>
          <w:szCs w:val="24"/>
          <w:lang w:val="es-CO"/>
        </w:rPr>
      </w:pPr>
    </w:p>
    <w:p w14:paraId="2CC2597D" w14:textId="77777777" w:rsidR="00B13B02" w:rsidRPr="00C316F8" w:rsidRDefault="00B13B02" w:rsidP="00B13B02">
      <w:pPr>
        <w:jc w:val="both"/>
        <w:rPr>
          <w:rFonts w:cstheme="minorHAnsi"/>
          <w:sz w:val="24"/>
          <w:szCs w:val="24"/>
          <w:lang w:val="es-CO"/>
        </w:rPr>
      </w:pPr>
      <w:r w:rsidRPr="00C316F8">
        <w:rPr>
          <w:rFonts w:cstheme="minorHAnsi"/>
          <w:sz w:val="24"/>
          <w:szCs w:val="24"/>
          <w:lang w:val="es-CO"/>
        </w:rPr>
        <w:t>A la Universidad de Bogotá Jorge Tadeo Lozano, en especial a la Facultad de Ciencias Naturales e Ingeniería, por brindarme las herramientas y el espacio para formarme como investigadora.</w:t>
      </w:r>
    </w:p>
    <w:p w14:paraId="36EFEAA0" w14:textId="77777777" w:rsidR="00B13B02" w:rsidRPr="00C316F8" w:rsidRDefault="00B13B02" w:rsidP="00B13B02">
      <w:pPr>
        <w:jc w:val="both"/>
        <w:rPr>
          <w:rFonts w:cstheme="minorHAnsi"/>
          <w:sz w:val="24"/>
          <w:szCs w:val="24"/>
          <w:lang w:val="es-CO"/>
        </w:rPr>
      </w:pPr>
    </w:p>
    <w:p w14:paraId="2D08CA47" w14:textId="77777777" w:rsidR="00B13B02" w:rsidRPr="00C316F8" w:rsidRDefault="00B13B02" w:rsidP="00B13B02">
      <w:pPr>
        <w:jc w:val="both"/>
        <w:rPr>
          <w:rFonts w:cstheme="minorHAnsi"/>
          <w:sz w:val="24"/>
          <w:szCs w:val="24"/>
          <w:lang w:val="es-CO"/>
        </w:rPr>
      </w:pPr>
      <w:r w:rsidRPr="00C316F8">
        <w:rPr>
          <w:rFonts w:cstheme="minorHAnsi"/>
          <w:sz w:val="24"/>
          <w:szCs w:val="24"/>
          <w:lang w:val="es-CO"/>
        </w:rPr>
        <w:t>A los profesores, colegas y amigos que con sus discusiones y apoyo enriquecieron este trabajo. A quienes, de manera directa o indirecta, contribuyeron a que este logro fuera posible.</w:t>
      </w:r>
    </w:p>
    <w:p w14:paraId="33046EE6" w14:textId="77777777" w:rsidR="00C316F8" w:rsidRPr="00C316F8" w:rsidRDefault="00C316F8" w:rsidP="00B13B02">
      <w:pPr>
        <w:jc w:val="both"/>
        <w:rPr>
          <w:rFonts w:cstheme="minorHAnsi"/>
          <w:sz w:val="24"/>
          <w:szCs w:val="24"/>
          <w:lang w:val="es-CO"/>
        </w:rPr>
      </w:pPr>
    </w:p>
    <w:p w14:paraId="6505F641" w14:textId="02A5B8D9" w:rsidR="00C316F8" w:rsidRPr="00C316F8" w:rsidRDefault="00C316F8" w:rsidP="00B13B02">
      <w:pPr>
        <w:jc w:val="both"/>
        <w:rPr>
          <w:rFonts w:cstheme="minorHAnsi"/>
          <w:sz w:val="24"/>
          <w:szCs w:val="24"/>
          <w:lang w:val="es-CO"/>
        </w:rPr>
      </w:pPr>
      <w:r w:rsidRPr="00C316F8">
        <w:rPr>
          <w:rFonts w:cstheme="minorHAnsi"/>
          <w:sz w:val="24"/>
          <w:szCs w:val="24"/>
          <w:lang w:val="es-CO"/>
        </w:rPr>
        <w:t>A los médicos que fallecieron durante la pandemia COVID-19</w:t>
      </w:r>
    </w:p>
    <w:p w14:paraId="4544CA94" w14:textId="77777777" w:rsidR="00B13B02" w:rsidRPr="00C316F8" w:rsidRDefault="00B13B02" w:rsidP="00B13B02">
      <w:pPr>
        <w:jc w:val="both"/>
        <w:rPr>
          <w:rFonts w:cstheme="minorHAnsi"/>
          <w:sz w:val="24"/>
          <w:szCs w:val="24"/>
          <w:lang w:val="es-CO"/>
        </w:rPr>
      </w:pPr>
    </w:p>
    <w:p w14:paraId="6201BE9B" w14:textId="41E33C77" w:rsidR="00B13B02" w:rsidRPr="00C316F8" w:rsidRDefault="00B13B02" w:rsidP="00B13B02">
      <w:pPr>
        <w:jc w:val="both"/>
        <w:rPr>
          <w:rFonts w:cstheme="minorHAnsi"/>
          <w:sz w:val="24"/>
          <w:szCs w:val="24"/>
          <w:lang w:val="es-CO"/>
        </w:rPr>
      </w:pPr>
      <w:r w:rsidRPr="00C316F8">
        <w:rPr>
          <w:rFonts w:cstheme="minorHAnsi"/>
          <w:sz w:val="24"/>
          <w:szCs w:val="24"/>
          <w:lang w:val="es-CO"/>
        </w:rPr>
        <w:t>"El conocimiento se construye en comunidad"</w:t>
      </w:r>
    </w:p>
    <w:p w14:paraId="6A03C7EC" w14:textId="77777777" w:rsidR="00A23945" w:rsidRPr="00C316F8" w:rsidRDefault="00A23945">
      <w:pPr>
        <w:rPr>
          <w:rFonts w:ascii="Calibri" w:hAnsi="Calibri" w:cs="Times New Roman"/>
          <w:b/>
          <w:sz w:val="28"/>
          <w:szCs w:val="32"/>
          <w:lang w:val="es-CO"/>
          <w14:ligatures w14:val="none"/>
        </w:rPr>
      </w:pPr>
      <w:r w:rsidRPr="00C316F8">
        <w:rPr>
          <w:lang w:val="es-CO"/>
        </w:rPr>
        <w:br w:type="page"/>
      </w:r>
    </w:p>
    <w:sdt>
      <w:sdtPr>
        <w:rPr>
          <w:rFonts w:asciiTheme="minorHAnsi" w:hAnsiTheme="minorHAnsi" w:cstheme="minorBidi"/>
          <w:b w:val="0"/>
          <w:sz w:val="22"/>
          <w:szCs w:val="22"/>
          <w:lang w:val="es-ES"/>
          <w14:ligatures w14:val="standardContextual"/>
        </w:rPr>
        <w:id w:val="-1750649697"/>
        <w:docPartObj>
          <w:docPartGallery w:val="Table of Contents"/>
          <w:docPartUnique/>
        </w:docPartObj>
      </w:sdtPr>
      <w:sdtEndPr>
        <w:rPr>
          <w:bCs/>
        </w:rPr>
      </w:sdtEndPr>
      <w:sdtContent>
        <w:p w14:paraId="175B8DE1" w14:textId="00D871B0" w:rsidR="00635A7C" w:rsidRPr="00C316F8" w:rsidRDefault="002B0A96" w:rsidP="00344484">
          <w:pPr>
            <w:pStyle w:val="Ttulo"/>
            <w:rPr>
              <w:rStyle w:val="Ttulo1Car"/>
              <w:b/>
              <w:bCs/>
            </w:rPr>
          </w:pPr>
          <w:r w:rsidRPr="00C316F8">
            <w:rPr>
              <w:rStyle w:val="Ttulo1Car"/>
              <w:b/>
              <w:bCs/>
            </w:rPr>
            <w:t>CONTENIDO</w:t>
          </w:r>
        </w:p>
        <w:p w14:paraId="1AD09B8C" w14:textId="46A8558C" w:rsidR="002F2431" w:rsidRDefault="00635A7C">
          <w:pPr>
            <w:pStyle w:val="TDC1"/>
            <w:tabs>
              <w:tab w:val="right" w:pos="8828"/>
            </w:tabs>
            <w:rPr>
              <w:rFonts w:eastAsiaTheme="minorEastAsia"/>
              <w:noProof/>
              <w:kern w:val="2"/>
            </w:rPr>
          </w:pPr>
          <w:r w:rsidRPr="00C316F8">
            <w:fldChar w:fldCharType="begin"/>
          </w:r>
          <w:r w:rsidRPr="00C316F8">
            <w:instrText xml:space="preserve"> TOC \o "1-3" \h \z \u </w:instrText>
          </w:r>
          <w:r w:rsidRPr="00C316F8">
            <w:fldChar w:fldCharType="separate"/>
          </w:r>
          <w:hyperlink w:anchor="_Toc229834622" w:history="1">
            <w:r w:rsidR="002F2431" w:rsidRPr="00273FB2">
              <w:rPr>
                <w:rStyle w:val="Hipervnculo"/>
                <w:noProof/>
                <w:lang w:val="es-CO"/>
              </w:rPr>
              <w:t>SALVEDAD DE RESPONSABILIDAD INSTITUCIONAL</w:t>
            </w:r>
            <w:r w:rsidR="002F2431">
              <w:rPr>
                <w:noProof/>
                <w:webHidden/>
              </w:rPr>
              <w:tab/>
            </w:r>
            <w:r w:rsidR="002F2431">
              <w:rPr>
                <w:noProof/>
                <w:webHidden/>
              </w:rPr>
              <w:fldChar w:fldCharType="begin"/>
            </w:r>
            <w:r w:rsidR="002F2431">
              <w:rPr>
                <w:noProof/>
                <w:webHidden/>
              </w:rPr>
              <w:instrText xml:space="preserve"> PAGEREF _Toc229834622 \h </w:instrText>
            </w:r>
            <w:r w:rsidR="002F2431">
              <w:rPr>
                <w:noProof/>
                <w:webHidden/>
              </w:rPr>
            </w:r>
            <w:r w:rsidR="002F2431">
              <w:rPr>
                <w:noProof/>
                <w:webHidden/>
              </w:rPr>
              <w:fldChar w:fldCharType="separate"/>
            </w:r>
            <w:r w:rsidR="002F2431">
              <w:rPr>
                <w:noProof/>
                <w:webHidden/>
              </w:rPr>
              <w:t>5</w:t>
            </w:r>
            <w:r w:rsidR="002F2431">
              <w:rPr>
                <w:noProof/>
                <w:webHidden/>
              </w:rPr>
              <w:fldChar w:fldCharType="end"/>
            </w:r>
          </w:hyperlink>
        </w:p>
        <w:p w14:paraId="4FEC1A68" w14:textId="4846EDAC" w:rsidR="002F2431" w:rsidRDefault="005E39B6">
          <w:pPr>
            <w:pStyle w:val="TDC1"/>
            <w:tabs>
              <w:tab w:val="right" w:pos="8828"/>
            </w:tabs>
            <w:rPr>
              <w:rFonts w:eastAsiaTheme="minorEastAsia"/>
              <w:noProof/>
              <w:kern w:val="2"/>
            </w:rPr>
          </w:pPr>
          <w:hyperlink w:anchor="_Toc229834623" w:history="1">
            <w:r w:rsidR="002F2431" w:rsidRPr="00273FB2">
              <w:rPr>
                <w:rStyle w:val="Hipervnculo"/>
                <w:noProof/>
                <w:lang w:val="es-CO"/>
              </w:rPr>
              <w:t>DEDICATORIA</w:t>
            </w:r>
            <w:r w:rsidR="002F2431">
              <w:rPr>
                <w:noProof/>
                <w:webHidden/>
              </w:rPr>
              <w:tab/>
            </w:r>
            <w:r w:rsidR="002F2431">
              <w:rPr>
                <w:noProof/>
                <w:webHidden/>
              </w:rPr>
              <w:fldChar w:fldCharType="begin"/>
            </w:r>
            <w:r w:rsidR="002F2431">
              <w:rPr>
                <w:noProof/>
                <w:webHidden/>
              </w:rPr>
              <w:instrText xml:space="preserve"> PAGEREF _Toc229834623 \h </w:instrText>
            </w:r>
            <w:r w:rsidR="002F2431">
              <w:rPr>
                <w:noProof/>
                <w:webHidden/>
              </w:rPr>
            </w:r>
            <w:r w:rsidR="002F2431">
              <w:rPr>
                <w:noProof/>
                <w:webHidden/>
              </w:rPr>
              <w:fldChar w:fldCharType="separate"/>
            </w:r>
            <w:r w:rsidR="002F2431">
              <w:rPr>
                <w:noProof/>
                <w:webHidden/>
              </w:rPr>
              <w:t>6</w:t>
            </w:r>
            <w:r w:rsidR="002F2431">
              <w:rPr>
                <w:noProof/>
                <w:webHidden/>
              </w:rPr>
              <w:fldChar w:fldCharType="end"/>
            </w:r>
          </w:hyperlink>
        </w:p>
        <w:p w14:paraId="2FBDEBBD" w14:textId="6691423F" w:rsidR="002F2431" w:rsidRDefault="005E39B6">
          <w:pPr>
            <w:pStyle w:val="TDC1"/>
            <w:tabs>
              <w:tab w:val="right" w:pos="8828"/>
            </w:tabs>
            <w:rPr>
              <w:rFonts w:eastAsiaTheme="minorEastAsia"/>
              <w:noProof/>
              <w:kern w:val="2"/>
            </w:rPr>
          </w:pPr>
          <w:hyperlink w:anchor="_Toc229834624" w:history="1">
            <w:r w:rsidR="002F2431" w:rsidRPr="00273FB2">
              <w:rPr>
                <w:rStyle w:val="Hipervnculo"/>
                <w:noProof/>
                <w:lang w:val="es-CO"/>
              </w:rPr>
              <w:t>AGRADECIMIENTOS</w:t>
            </w:r>
            <w:r w:rsidR="002F2431">
              <w:rPr>
                <w:noProof/>
                <w:webHidden/>
              </w:rPr>
              <w:tab/>
            </w:r>
            <w:r w:rsidR="002F2431">
              <w:rPr>
                <w:noProof/>
                <w:webHidden/>
              </w:rPr>
              <w:fldChar w:fldCharType="begin"/>
            </w:r>
            <w:r w:rsidR="002F2431">
              <w:rPr>
                <w:noProof/>
                <w:webHidden/>
              </w:rPr>
              <w:instrText xml:space="preserve"> PAGEREF _Toc229834624 \h </w:instrText>
            </w:r>
            <w:r w:rsidR="002F2431">
              <w:rPr>
                <w:noProof/>
                <w:webHidden/>
              </w:rPr>
            </w:r>
            <w:r w:rsidR="002F2431">
              <w:rPr>
                <w:noProof/>
                <w:webHidden/>
              </w:rPr>
              <w:fldChar w:fldCharType="separate"/>
            </w:r>
            <w:r w:rsidR="002F2431">
              <w:rPr>
                <w:noProof/>
                <w:webHidden/>
              </w:rPr>
              <w:t>7</w:t>
            </w:r>
            <w:r w:rsidR="002F2431">
              <w:rPr>
                <w:noProof/>
                <w:webHidden/>
              </w:rPr>
              <w:fldChar w:fldCharType="end"/>
            </w:r>
          </w:hyperlink>
        </w:p>
        <w:p w14:paraId="240970FA" w14:textId="36EE54E3" w:rsidR="002F2431" w:rsidRDefault="005E39B6">
          <w:pPr>
            <w:pStyle w:val="TDC1"/>
            <w:tabs>
              <w:tab w:val="right" w:pos="8828"/>
            </w:tabs>
            <w:rPr>
              <w:rFonts w:eastAsiaTheme="minorEastAsia"/>
              <w:noProof/>
              <w:kern w:val="2"/>
            </w:rPr>
          </w:pPr>
          <w:hyperlink w:anchor="_Toc229834625" w:history="1">
            <w:r w:rsidR="002F2431" w:rsidRPr="00273FB2">
              <w:rPr>
                <w:rStyle w:val="Hipervnculo"/>
                <w:noProof/>
              </w:rPr>
              <w:t>INDICE DE TABLAS</w:t>
            </w:r>
            <w:r w:rsidR="002F2431">
              <w:rPr>
                <w:noProof/>
                <w:webHidden/>
              </w:rPr>
              <w:tab/>
            </w:r>
            <w:r w:rsidR="002F2431">
              <w:rPr>
                <w:noProof/>
                <w:webHidden/>
              </w:rPr>
              <w:fldChar w:fldCharType="begin"/>
            </w:r>
            <w:r w:rsidR="002F2431">
              <w:rPr>
                <w:noProof/>
                <w:webHidden/>
              </w:rPr>
              <w:instrText xml:space="preserve"> PAGEREF _Toc229834625 \h </w:instrText>
            </w:r>
            <w:r w:rsidR="002F2431">
              <w:rPr>
                <w:noProof/>
                <w:webHidden/>
              </w:rPr>
            </w:r>
            <w:r w:rsidR="002F2431">
              <w:rPr>
                <w:noProof/>
                <w:webHidden/>
              </w:rPr>
              <w:fldChar w:fldCharType="separate"/>
            </w:r>
            <w:r w:rsidR="002F2431">
              <w:rPr>
                <w:noProof/>
                <w:webHidden/>
              </w:rPr>
              <w:t>11</w:t>
            </w:r>
            <w:r w:rsidR="002F2431">
              <w:rPr>
                <w:noProof/>
                <w:webHidden/>
              </w:rPr>
              <w:fldChar w:fldCharType="end"/>
            </w:r>
          </w:hyperlink>
        </w:p>
        <w:p w14:paraId="193FECF5" w14:textId="440BECFC" w:rsidR="002F2431" w:rsidRDefault="005E39B6">
          <w:pPr>
            <w:pStyle w:val="TDC1"/>
            <w:tabs>
              <w:tab w:val="right" w:pos="8828"/>
            </w:tabs>
            <w:rPr>
              <w:rFonts w:eastAsiaTheme="minorEastAsia"/>
              <w:noProof/>
              <w:kern w:val="2"/>
            </w:rPr>
          </w:pPr>
          <w:hyperlink w:anchor="_Toc229834626" w:history="1">
            <w:r w:rsidR="002F2431" w:rsidRPr="00273FB2">
              <w:rPr>
                <w:rStyle w:val="Hipervnculo"/>
                <w:noProof/>
                <w:lang w:val="es-CO"/>
              </w:rPr>
              <w:t>INDICE DE GRAFICAS</w:t>
            </w:r>
            <w:r w:rsidR="002F2431">
              <w:rPr>
                <w:noProof/>
                <w:webHidden/>
              </w:rPr>
              <w:tab/>
            </w:r>
            <w:r w:rsidR="002F2431">
              <w:rPr>
                <w:noProof/>
                <w:webHidden/>
              </w:rPr>
              <w:fldChar w:fldCharType="begin"/>
            </w:r>
            <w:r w:rsidR="002F2431">
              <w:rPr>
                <w:noProof/>
                <w:webHidden/>
              </w:rPr>
              <w:instrText xml:space="preserve"> PAGEREF _Toc229834626 \h </w:instrText>
            </w:r>
            <w:r w:rsidR="002F2431">
              <w:rPr>
                <w:noProof/>
                <w:webHidden/>
              </w:rPr>
            </w:r>
            <w:r w:rsidR="002F2431">
              <w:rPr>
                <w:noProof/>
                <w:webHidden/>
              </w:rPr>
              <w:fldChar w:fldCharType="separate"/>
            </w:r>
            <w:r w:rsidR="002F2431">
              <w:rPr>
                <w:noProof/>
                <w:webHidden/>
              </w:rPr>
              <w:t>12</w:t>
            </w:r>
            <w:r w:rsidR="002F2431">
              <w:rPr>
                <w:noProof/>
                <w:webHidden/>
              </w:rPr>
              <w:fldChar w:fldCharType="end"/>
            </w:r>
          </w:hyperlink>
        </w:p>
        <w:p w14:paraId="44722714" w14:textId="6C1AFB5D" w:rsidR="002F2431" w:rsidRDefault="005E39B6">
          <w:pPr>
            <w:pStyle w:val="TDC1"/>
            <w:tabs>
              <w:tab w:val="right" w:pos="8828"/>
            </w:tabs>
            <w:rPr>
              <w:rFonts w:eastAsiaTheme="minorEastAsia"/>
              <w:noProof/>
              <w:kern w:val="2"/>
            </w:rPr>
          </w:pPr>
          <w:hyperlink w:anchor="_Toc229834627" w:history="1">
            <w:r w:rsidR="002F2431" w:rsidRPr="00273FB2">
              <w:rPr>
                <w:rStyle w:val="Hipervnculo"/>
                <w:noProof/>
                <w:lang w:val="es-CO"/>
              </w:rPr>
              <w:t>PARTE I. FUNDAMENTOS DEL ESTUDIO</w:t>
            </w:r>
            <w:r w:rsidR="002F2431">
              <w:rPr>
                <w:noProof/>
                <w:webHidden/>
              </w:rPr>
              <w:tab/>
            </w:r>
            <w:r w:rsidR="002F2431">
              <w:rPr>
                <w:noProof/>
                <w:webHidden/>
              </w:rPr>
              <w:fldChar w:fldCharType="begin"/>
            </w:r>
            <w:r w:rsidR="002F2431">
              <w:rPr>
                <w:noProof/>
                <w:webHidden/>
              </w:rPr>
              <w:instrText xml:space="preserve"> PAGEREF _Toc229834627 \h </w:instrText>
            </w:r>
            <w:r w:rsidR="002F2431">
              <w:rPr>
                <w:noProof/>
                <w:webHidden/>
              </w:rPr>
            </w:r>
            <w:r w:rsidR="002F2431">
              <w:rPr>
                <w:noProof/>
                <w:webHidden/>
              </w:rPr>
              <w:fldChar w:fldCharType="separate"/>
            </w:r>
            <w:r w:rsidR="002F2431">
              <w:rPr>
                <w:noProof/>
                <w:webHidden/>
              </w:rPr>
              <w:t>13</w:t>
            </w:r>
            <w:r w:rsidR="002F2431">
              <w:rPr>
                <w:noProof/>
                <w:webHidden/>
              </w:rPr>
              <w:fldChar w:fldCharType="end"/>
            </w:r>
          </w:hyperlink>
        </w:p>
        <w:p w14:paraId="6A520D52" w14:textId="16160129" w:rsidR="002F2431" w:rsidRDefault="005E39B6">
          <w:pPr>
            <w:pStyle w:val="TDC1"/>
            <w:tabs>
              <w:tab w:val="left" w:pos="660"/>
              <w:tab w:val="right" w:pos="8828"/>
            </w:tabs>
            <w:rPr>
              <w:rFonts w:eastAsiaTheme="minorEastAsia"/>
              <w:noProof/>
              <w:kern w:val="2"/>
            </w:rPr>
          </w:pPr>
          <w:hyperlink w:anchor="_Toc229834628" w:history="1">
            <w:r w:rsidR="002F2431" w:rsidRPr="00273FB2">
              <w:rPr>
                <w:rStyle w:val="Hipervnculo"/>
                <w:noProof/>
                <w:lang w:val="es-CO"/>
              </w:rPr>
              <w:t>1.</w:t>
            </w:r>
            <w:r w:rsidR="002F2431">
              <w:rPr>
                <w:rFonts w:eastAsiaTheme="minorEastAsia"/>
                <w:noProof/>
                <w:kern w:val="2"/>
              </w:rPr>
              <w:tab/>
            </w:r>
            <w:r w:rsidR="002F2431" w:rsidRPr="00273FB2">
              <w:rPr>
                <w:rStyle w:val="Hipervnculo"/>
                <w:noProof/>
                <w:lang w:val="es-CO"/>
              </w:rPr>
              <w:t>INTRODUCCIÓN</w:t>
            </w:r>
            <w:r w:rsidR="002F2431">
              <w:rPr>
                <w:noProof/>
                <w:webHidden/>
              </w:rPr>
              <w:tab/>
            </w:r>
            <w:r w:rsidR="002F2431">
              <w:rPr>
                <w:noProof/>
                <w:webHidden/>
              </w:rPr>
              <w:fldChar w:fldCharType="begin"/>
            </w:r>
            <w:r w:rsidR="002F2431">
              <w:rPr>
                <w:noProof/>
                <w:webHidden/>
              </w:rPr>
              <w:instrText xml:space="preserve"> PAGEREF _Toc229834628 \h </w:instrText>
            </w:r>
            <w:r w:rsidR="002F2431">
              <w:rPr>
                <w:noProof/>
                <w:webHidden/>
              </w:rPr>
            </w:r>
            <w:r w:rsidR="002F2431">
              <w:rPr>
                <w:noProof/>
                <w:webHidden/>
              </w:rPr>
              <w:fldChar w:fldCharType="separate"/>
            </w:r>
            <w:r w:rsidR="002F2431">
              <w:rPr>
                <w:noProof/>
                <w:webHidden/>
              </w:rPr>
              <w:t>13</w:t>
            </w:r>
            <w:r w:rsidR="002F2431">
              <w:rPr>
                <w:noProof/>
                <w:webHidden/>
              </w:rPr>
              <w:fldChar w:fldCharType="end"/>
            </w:r>
          </w:hyperlink>
        </w:p>
        <w:p w14:paraId="68D5E192" w14:textId="13656876" w:rsidR="002F2431" w:rsidRDefault="005E39B6">
          <w:pPr>
            <w:pStyle w:val="TDC1"/>
            <w:tabs>
              <w:tab w:val="left" w:pos="660"/>
              <w:tab w:val="right" w:pos="8828"/>
            </w:tabs>
            <w:rPr>
              <w:rFonts w:eastAsiaTheme="minorEastAsia"/>
              <w:noProof/>
              <w:kern w:val="2"/>
            </w:rPr>
          </w:pPr>
          <w:hyperlink w:anchor="_Toc229834629" w:history="1">
            <w:r w:rsidR="002F2431" w:rsidRPr="00273FB2">
              <w:rPr>
                <w:rStyle w:val="Hipervnculo"/>
                <w:noProof/>
                <w:lang w:val="es-CO"/>
              </w:rPr>
              <w:t>2.</w:t>
            </w:r>
            <w:r w:rsidR="002F2431">
              <w:rPr>
                <w:rFonts w:eastAsiaTheme="minorEastAsia"/>
                <w:noProof/>
                <w:kern w:val="2"/>
              </w:rPr>
              <w:tab/>
            </w:r>
            <w:r w:rsidR="002F2431" w:rsidRPr="00273FB2">
              <w:rPr>
                <w:rStyle w:val="Hipervnculo"/>
                <w:noProof/>
                <w:lang w:val="es-CO"/>
              </w:rPr>
              <w:t>JUSTIFICACIÓN DEL ESTUDIO</w:t>
            </w:r>
            <w:r w:rsidR="002F2431">
              <w:rPr>
                <w:noProof/>
                <w:webHidden/>
              </w:rPr>
              <w:tab/>
            </w:r>
            <w:r w:rsidR="002F2431">
              <w:rPr>
                <w:noProof/>
                <w:webHidden/>
              </w:rPr>
              <w:fldChar w:fldCharType="begin"/>
            </w:r>
            <w:r w:rsidR="002F2431">
              <w:rPr>
                <w:noProof/>
                <w:webHidden/>
              </w:rPr>
              <w:instrText xml:space="preserve"> PAGEREF _Toc229834629 \h </w:instrText>
            </w:r>
            <w:r w:rsidR="002F2431">
              <w:rPr>
                <w:noProof/>
                <w:webHidden/>
              </w:rPr>
            </w:r>
            <w:r w:rsidR="002F2431">
              <w:rPr>
                <w:noProof/>
                <w:webHidden/>
              </w:rPr>
              <w:fldChar w:fldCharType="separate"/>
            </w:r>
            <w:r w:rsidR="002F2431">
              <w:rPr>
                <w:noProof/>
                <w:webHidden/>
              </w:rPr>
              <w:t>16</w:t>
            </w:r>
            <w:r w:rsidR="002F2431">
              <w:rPr>
                <w:noProof/>
                <w:webHidden/>
              </w:rPr>
              <w:fldChar w:fldCharType="end"/>
            </w:r>
          </w:hyperlink>
        </w:p>
        <w:p w14:paraId="703B959F" w14:textId="5D17EDCA" w:rsidR="002F2431" w:rsidRDefault="005E39B6">
          <w:pPr>
            <w:pStyle w:val="TDC1"/>
            <w:tabs>
              <w:tab w:val="left" w:pos="660"/>
              <w:tab w:val="right" w:pos="8828"/>
            </w:tabs>
            <w:rPr>
              <w:rFonts w:eastAsiaTheme="minorEastAsia"/>
              <w:noProof/>
              <w:kern w:val="2"/>
            </w:rPr>
          </w:pPr>
          <w:hyperlink w:anchor="_Toc229834630" w:history="1">
            <w:r w:rsidR="002F2431" w:rsidRPr="00273FB2">
              <w:rPr>
                <w:rStyle w:val="Hipervnculo"/>
                <w:noProof/>
                <w:lang w:val="es-ES"/>
              </w:rPr>
              <w:t>3.</w:t>
            </w:r>
            <w:r w:rsidR="002F2431">
              <w:rPr>
                <w:rFonts w:eastAsiaTheme="minorEastAsia"/>
                <w:noProof/>
                <w:kern w:val="2"/>
              </w:rPr>
              <w:tab/>
            </w:r>
            <w:r w:rsidR="002F2431" w:rsidRPr="00273FB2">
              <w:rPr>
                <w:rStyle w:val="Hipervnculo"/>
                <w:noProof/>
                <w:lang w:val="es-ES"/>
              </w:rPr>
              <w:t>MARCO TEÓRICO</w:t>
            </w:r>
            <w:r w:rsidR="002F2431">
              <w:rPr>
                <w:noProof/>
                <w:webHidden/>
              </w:rPr>
              <w:tab/>
            </w:r>
            <w:r w:rsidR="002F2431">
              <w:rPr>
                <w:noProof/>
                <w:webHidden/>
              </w:rPr>
              <w:fldChar w:fldCharType="begin"/>
            </w:r>
            <w:r w:rsidR="002F2431">
              <w:rPr>
                <w:noProof/>
                <w:webHidden/>
              </w:rPr>
              <w:instrText xml:space="preserve"> PAGEREF _Toc229834630 \h </w:instrText>
            </w:r>
            <w:r w:rsidR="002F2431">
              <w:rPr>
                <w:noProof/>
                <w:webHidden/>
              </w:rPr>
            </w:r>
            <w:r w:rsidR="002F2431">
              <w:rPr>
                <w:noProof/>
                <w:webHidden/>
              </w:rPr>
              <w:fldChar w:fldCharType="separate"/>
            </w:r>
            <w:r w:rsidR="002F2431">
              <w:rPr>
                <w:noProof/>
                <w:webHidden/>
              </w:rPr>
              <w:t>17</w:t>
            </w:r>
            <w:r w:rsidR="002F2431">
              <w:rPr>
                <w:noProof/>
                <w:webHidden/>
              </w:rPr>
              <w:fldChar w:fldCharType="end"/>
            </w:r>
          </w:hyperlink>
        </w:p>
        <w:p w14:paraId="38E7F112" w14:textId="582CEABA" w:rsidR="002F2431" w:rsidRDefault="005E39B6">
          <w:pPr>
            <w:pStyle w:val="TDC1"/>
            <w:tabs>
              <w:tab w:val="left" w:pos="660"/>
              <w:tab w:val="right" w:pos="8828"/>
            </w:tabs>
            <w:rPr>
              <w:rFonts w:eastAsiaTheme="minorEastAsia"/>
              <w:noProof/>
              <w:kern w:val="2"/>
            </w:rPr>
          </w:pPr>
          <w:hyperlink w:anchor="_Toc229834631" w:history="1">
            <w:r w:rsidR="002F2431" w:rsidRPr="00273FB2">
              <w:rPr>
                <w:rStyle w:val="Hipervnculo"/>
                <w:noProof/>
                <w:lang w:val="es-ES"/>
              </w:rPr>
              <w:t>3.1.</w:t>
            </w:r>
            <w:r w:rsidR="002F2431">
              <w:rPr>
                <w:rFonts w:eastAsiaTheme="minorEastAsia"/>
                <w:noProof/>
                <w:kern w:val="2"/>
              </w:rPr>
              <w:tab/>
            </w:r>
            <w:r w:rsidR="002F2431" w:rsidRPr="00273FB2">
              <w:rPr>
                <w:rStyle w:val="Hipervnculo"/>
                <w:noProof/>
                <w:lang w:val="es-ES"/>
              </w:rPr>
              <w:t>Antecedentes históricos de pandemias y factores socioeconómicos</w:t>
            </w:r>
            <w:r w:rsidR="002F2431">
              <w:rPr>
                <w:noProof/>
                <w:webHidden/>
              </w:rPr>
              <w:tab/>
            </w:r>
            <w:r w:rsidR="002F2431">
              <w:rPr>
                <w:noProof/>
                <w:webHidden/>
              </w:rPr>
              <w:fldChar w:fldCharType="begin"/>
            </w:r>
            <w:r w:rsidR="002F2431">
              <w:rPr>
                <w:noProof/>
                <w:webHidden/>
              </w:rPr>
              <w:instrText xml:space="preserve"> PAGEREF _Toc229834631 \h </w:instrText>
            </w:r>
            <w:r w:rsidR="002F2431">
              <w:rPr>
                <w:noProof/>
                <w:webHidden/>
              </w:rPr>
            </w:r>
            <w:r w:rsidR="002F2431">
              <w:rPr>
                <w:noProof/>
                <w:webHidden/>
              </w:rPr>
              <w:fldChar w:fldCharType="separate"/>
            </w:r>
            <w:r w:rsidR="002F2431">
              <w:rPr>
                <w:noProof/>
                <w:webHidden/>
              </w:rPr>
              <w:t>17</w:t>
            </w:r>
            <w:r w:rsidR="002F2431">
              <w:rPr>
                <w:noProof/>
                <w:webHidden/>
              </w:rPr>
              <w:fldChar w:fldCharType="end"/>
            </w:r>
          </w:hyperlink>
        </w:p>
        <w:p w14:paraId="35180034" w14:textId="53B72010" w:rsidR="002F2431" w:rsidRDefault="005E39B6">
          <w:pPr>
            <w:pStyle w:val="TDC1"/>
            <w:tabs>
              <w:tab w:val="left" w:pos="660"/>
              <w:tab w:val="right" w:pos="8828"/>
            </w:tabs>
            <w:rPr>
              <w:rFonts w:eastAsiaTheme="minorEastAsia"/>
              <w:noProof/>
              <w:kern w:val="2"/>
            </w:rPr>
          </w:pPr>
          <w:hyperlink w:anchor="_Toc229834632" w:history="1">
            <w:r w:rsidR="002F2431" w:rsidRPr="00273FB2">
              <w:rPr>
                <w:rStyle w:val="Hipervnculo"/>
                <w:noProof/>
                <w:lang w:val="es-ES"/>
              </w:rPr>
              <w:t>3.2</w:t>
            </w:r>
            <w:r w:rsidR="002F2431">
              <w:rPr>
                <w:rFonts w:eastAsiaTheme="minorEastAsia"/>
                <w:noProof/>
                <w:kern w:val="2"/>
              </w:rPr>
              <w:tab/>
            </w:r>
            <w:r w:rsidR="002F2431" w:rsidRPr="00273FB2">
              <w:rPr>
                <w:rStyle w:val="Hipervnculo"/>
                <w:noProof/>
                <w:lang w:val="es-ES"/>
              </w:rPr>
              <w:t>Mortalidad y variables socioeconómicas</w:t>
            </w:r>
            <w:r w:rsidR="002F2431">
              <w:rPr>
                <w:noProof/>
                <w:webHidden/>
              </w:rPr>
              <w:tab/>
            </w:r>
            <w:r w:rsidR="002F2431">
              <w:rPr>
                <w:noProof/>
                <w:webHidden/>
              </w:rPr>
              <w:fldChar w:fldCharType="begin"/>
            </w:r>
            <w:r w:rsidR="002F2431">
              <w:rPr>
                <w:noProof/>
                <w:webHidden/>
              </w:rPr>
              <w:instrText xml:space="preserve"> PAGEREF _Toc229834632 \h </w:instrText>
            </w:r>
            <w:r w:rsidR="002F2431">
              <w:rPr>
                <w:noProof/>
                <w:webHidden/>
              </w:rPr>
            </w:r>
            <w:r w:rsidR="002F2431">
              <w:rPr>
                <w:noProof/>
                <w:webHidden/>
              </w:rPr>
              <w:fldChar w:fldCharType="separate"/>
            </w:r>
            <w:r w:rsidR="002F2431">
              <w:rPr>
                <w:noProof/>
                <w:webHidden/>
              </w:rPr>
              <w:t>18</w:t>
            </w:r>
            <w:r w:rsidR="002F2431">
              <w:rPr>
                <w:noProof/>
                <w:webHidden/>
              </w:rPr>
              <w:fldChar w:fldCharType="end"/>
            </w:r>
          </w:hyperlink>
        </w:p>
        <w:p w14:paraId="74CC9B5C" w14:textId="136B1297" w:rsidR="002F2431" w:rsidRDefault="005E39B6">
          <w:pPr>
            <w:pStyle w:val="TDC2"/>
            <w:rPr>
              <w:rFonts w:eastAsiaTheme="minorEastAsia"/>
              <w:noProof/>
              <w:kern w:val="2"/>
            </w:rPr>
          </w:pPr>
          <w:hyperlink w:anchor="_Toc229834633" w:history="1">
            <w:r w:rsidR="002F2431" w:rsidRPr="00273FB2">
              <w:rPr>
                <w:rStyle w:val="Hipervnculo"/>
                <w:noProof/>
              </w:rPr>
              <w:t>3.2.1</w:t>
            </w:r>
            <w:r w:rsidR="002F2431">
              <w:rPr>
                <w:rFonts w:eastAsiaTheme="minorEastAsia"/>
                <w:noProof/>
                <w:kern w:val="2"/>
              </w:rPr>
              <w:tab/>
            </w:r>
            <w:r w:rsidR="002F2431" w:rsidRPr="00273FB2">
              <w:rPr>
                <w:rStyle w:val="Hipervnculo"/>
                <w:noProof/>
              </w:rPr>
              <w:t>Etnicidad y raza</w:t>
            </w:r>
            <w:r w:rsidR="002F2431">
              <w:rPr>
                <w:noProof/>
                <w:webHidden/>
              </w:rPr>
              <w:tab/>
            </w:r>
            <w:r w:rsidR="002F2431">
              <w:rPr>
                <w:noProof/>
                <w:webHidden/>
              </w:rPr>
              <w:fldChar w:fldCharType="begin"/>
            </w:r>
            <w:r w:rsidR="002F2431">
              <w:rPr>
                <w:noProof/>
                <w:webHidden/>
              </w:rPr>
              <w:instrText xml:space="preserve"> PAGEREF _Toc229834633 \h </w:instrText>
            </w:r>
            <w:r w:rsidR="002F2431">
              <w:rPr>
                <w:noProof/>
                <w:webHidden/>
              </w:rPr>
            </w:r>
            <w:r w:rsidR="002F2431">
              <w:rPr>
                <w:noProof/>
                <w:webHidden/>
              </w:rPr>
              <w:fldChar w:fldCharType="separate"/>
            </w:r>
            <w:r w:rsidR="002F2431">
              <w:rPr>
                <w:noProof/>
                <w:webHidden/>
              </w:rPr>
              <w:t>21</w:t>
            </w:r>
            <w:r w:rsidR="002F2431">
              <w:rPr>
                <w:noProof/>
                <w:webHidden/>
              </w:rPr>
              <w:fldChar w:fldCharType="end"/>
            </w:r>
          </w:hyperlink>
        </w:p>
        <w:p w14:paraId="68711BC5" w14:textId="6C1C166E" w:rsidR="002F2431" w:rsidRDefault="005E39B6">
          <w:pPr>
            <w:pStyle w:val="TDC2"/>
            <w:rPr>
              <w:rFonts w:eastAsiaTheme="minorEastAsia"/>
              <w:noProof/>
              <w:kern w:val="2"/>
            </w:rPr>
          </w:pPr>
          <w:hyperlink w:anchor="_Toc229834634" w:history="1">
            <w:r w:rsidR="002F2431" w:rsidRPr="00273FB2">
              <w:rPr>
                <w:rStyle w:val="Hipervnculo"/>
                <w:noProof/>
              </w:rPr>
              <w:t>3.2.2</w:t>
            </w:r>
            <w:r w:rsidR="002F2431">
              <w:rPr>
                <w:rFonts w:eastAsiaTheme="minorEastAsia"/>
                <w:noProof/>
                <w:kern w:val="2"/>
              </w:rPr>
              <w:tab/>
            </w:r>
            <w:r w:rsidR="002F2431" w:rsidRPr="00273FB2">
              <w:rPr>
                <w:rStyle w:val="Hipervnculo"/>
                <w:noProof/>
              </w:rPr>
              <w:t>Educación</w:t>
            </w:r>
            <w:r w:rsidR="002F2431">
              <w:rPr>
                <w:noProof/>
                <w:webHidden/>
              </w:rPr>
              <w:tab/>
            </w:r>
            <w:r w:rsidR="002F2431">
              <w:rPr>
                <w:noProof/>
                <w:webHidden/>
              </w:rPr>
              <w:fldChar w:fldCharType="begin"/>
            </w:r>
            <w:r w:rsidR="002F2431">
              <w:rPr>
                <w:noProof/>
                <w:webHidden/>
              </w:rPr>
              <w:instrText xml:space="preserve"> PAGEREF _Toc229834634 \h </w:instrText>
            </w:r>
            <w:r w:rsidR="002F2431">
              <w:rPr>
                <w:noProof/>
                <w:webHidden/>
              </w:rPr>
            </w:r>
            <w:r w:rsidR="002F2431">
              <w:rPr>
                <w:noProof/>
                <w:webHidden/>
              </w:rPr>
              <w:fldChar w:fldCharType="separate"/>
            </w:r>
            <w:r w:rsidR="002F2431">
              <w:rPr>
                <w:noProof/>
                <w:webHidden/>
              </w:rPr>
              <w:t>24</w:t>
            </w:r>
            <w:r w:rsidR="002F2431">
              <w:rPr>
                <w:noProof/>
                <w:webHidden/>
              </w:rPr>
              <w:fldChar w:fldCharType="end"/>
            </w:r>
          </w:hyperlink>
        </w:p>
        <w:p w14:paraId="56433E70" w14:textId="5D422D9C" w:rsidR="002F2431" w:rsidRDefault="005E39B6">
          <w:pPr>
            <w:pStyle w:val="TDC2"/>
            <w:rPr>
              <w:rFonts w:eastAsiaTheme="minorEastAsia"/>
              <w:noProof/>
              <w:kern w:val="2"/>
            </w:rPr>
          </w:pPr>
          <w:hyperlink w:anchor="_Toc229834635" w:history="1">
            <w:r w:rsidR="002F2431" w:rsidRPr="00273FB2">
              <w:rPr>
                <w:rStyle w:val="Hipervnculo"/>
                <w:noProof/>
              </w:rPr>
              <w:t>3.2.3</w:t>
            </w:r>
            <w:r w:rsidR="002F2431">
              <w:rPr>
                <w:rFonts w:eastAsiaTheme="minorEastAsia"/>
                <w:noProof/>
                <w:kern w:val="2"/>
              </w:rPr>
              <w:tab/>
            </w:r>
            <w:r w:rsidR="002F2431" w:rsidRPr="00273FB2">
              <w:rPr>
                <w:rStyle w:val="Hipervnculo"/>
                <w:noProof/>
              </w:rPr>
              <w:t>Ingreso</w:t>
            </w:r>
            <w:r w:rsidR="002F2431">
              <w:rPr>
                <w:noProof/>
                <w:webHidden/>
              </w:rPr>
              <w:tab/>
            </w:r>
            <w:r w:rsidR="002F2431">
              <w:rPr>
                <w:noProof/>
                <w:webHidden/>
              </w:rPr>
              <w:fldChar w:fldCharType="begin"/>
            </w:r>
            <w:r w:rsidR="002F2431">
              <w:rPr>
                <w:noProof/>
                <w:webHidden/>
              </w:rPr>
              <w:instrText xml:space="preserve"> PAGEREF _Toc229834635 \h </w:instrText>
            </w:r>
            <w:r w:rsidR="002F2431">
              <w:rPr>
                <w:noProof/>
                <w:webHidden/>
              </w:rPr>
            </w:r>
            <w:r w:rsidR="002F2431">
              <w:rPr>
                <w:noProof/>
                <w:webHidden/>
              </w:rPr>
              <w:fldChar w:fldCharType="separate"/>
            </w:r>
            <w:r w:rsidR="002F2431">
              <w:rPr>
                <w:noProof/>
                <w:webHidden/>
              </w:rPr>
              <w:t>25</w:t>
            </w:r>
            <w:r w:rsidR="002F2431">
              <w:rPr>
                <w:noProof/>
                <w:webHidden/>
              </w:rPr>
              <w:fldChar w:fldCharType="end"/>
            </w:r>
          </w:hyperlink>
        </w:p>
        <w:p w14:paraId="6CBF41C6" w14:textId="23AB443D" w:rsidR="002F2431" w:rsidRDefault="005E39B6">
          <w:pPr>
            <w:pStyle w:val="TDC2"/>
            <w:rPr>
              <w:rFonts w:eastAsiaTheme="minorEastAsia"/>
              <w:noProof/>
              <w:kern w:val="2"/>
            </w:rPr>
          </w:pPr>
          <w:hyperlink w:anchor="_Toc229834636" w:history="1">
            <w:r w:rsidR="002F2431" w:rsidRPr="00273FB2">
              <w:rPr>
                <w:rStyle w:val="Hipervnculo"/>
                <w:noProof/>
              </w:rPr>
              <w:t>3.2.4</w:t>
            </w:r>
            <w:r w:rsidR="002F2431">
              <w:rPr>
                <w:rFonts w:eastAsiaTheme="minorEastAsia"/>
                <w:noProof/>
                <w:kern w:val="2"/>
              </w:rPr>
              <w:tab/>
            </w:r>
            <w:r w:rsidR="002F2431" w:rsidRPr="00273FB2">
              <w:rPr>
                <w:rStyle w:val="Hipervnculo"/>
                <w:noProof/>
              </w:rPr>
              <w:t>Ocupación</w:t>
            </w:r>
            <w:r w:rsidR="002F2431">
              <w:rPr>
                <w:noProof/>
                <w:webHidden/>
              </w:rPr>
              <w:tab/>
            </w:r>
            <w:r w:rsidR="002F2431">
              <w:rPr>
                <w:noProof/>
                <w:webHidden/>
              </w:rPr>
              <w:fldChar w:fldCharType="begin"/>
            </w:r>
            <w:r w:rsidR="002F2431">
              <w:rPr>
                <w:noProof/>
                <w:webHidden/>
              </w:rPr>
              <w:instrText xml:space="preserve"> PAGEREF _Toc229834636 \h </w:instrText>
            </w:r>
            <w:r w:rsidR="002F2431">
              <w:rPr>
                <w:noProof/>
                <w:webHidden/>
              </w:rPr>
            </w:r>
            <w:r w:rsidR="002F2431">
              <w:rPr>
                <w:noProof/>
                <w:webHidden/>
              </w:rPr>
              <w:fldChar w:fldCharType="separate"/>
            </w:r>
            <w:r w:rsidR="002F2431">
              <w:rPr>
                <w:noProof/>
                <w:webHidden/>
              </w:rPr>
              <w:t>27</w:t>
            </w:r>
            <w:r w:rsidR="002F2431">
              <w:rPr>
                <w:noProof/>
                <w:webHidden/>
              </w:rPr>
              <w:fldChar w:fldCharType="end"/>
            </w:r>
          </w:hyperlink>
        </w:p>
        <w:p w14:paraId="004B4923" w14:textId="2391C693" w:rsidR="002F2431" w:rsidRDefault="005E39B6">
          <w:pPr>
            <w:pStyle w:val="TDC2"/>
            <w:rPr>
              <w:rFonts w:eastAsiaTheme="minorEastAsia"/>
              <w:noProof/>
              <w:kern w:val="2"/>
            </w:rPr>
          </w:pPr>
          <w:hyperlink w:anchor="_Toc229834637" w:history="1">
            <w:r w:rsidR="002F2431" w:rsidRPr="00273FB2">
              <w:rPr>
                <w:rStyle w:val="Hipervnculo"/>
                <w:noProof/>
              </w:rPr>
              <w:t>3.2.5</w:t>
            </w:r>
            <w:r w:rsidR="002F2431">
              <w:rPr>
                <w:rFonts w:eastAsiaTheme="minorEastAsia"/>
                <w:noProof/>
                <w:kern w:val="2"/>
              </w:rPr>
              <w:tab/>
            </w:r>
            <w:r w:rsidR="002F2431" w:rsidRPr="00273FB2">
              <w:rPr>
                <w:rStyle w:val="Hipervnculo"/>
                <w:noProof/>
              </w:rPr>
              <w:t>Riqueza</w:t>
            </w:r>
            <w:r w:rsidR="002F2431">
              <w:rPr>
                <w:noProof/>
                <w:webHidden/>
              </w:rPr>
              <w:tab/>
            </w:r>
            <w:r w:rsidR="002F2431">
              <w:rPr>
                <w:noProof/>
                <w:webHidden/>
              </w:rPr>
              <w:fldChar w:fldCharType="begin"/>
            </w:r>
            <w:r w:rsidR="002F2431">
              <w:rPr>
                <w:noProof/>
                <w:webHidden/>
              </w:rPr>
              <w:instrText xml:space="preserve"> PAGEREF _Toc229834637 \h </w:instrText>
            </w:r>
            <w:r w:rsidR="002F2431">
              <w:rPr>
                <w:noProof/>
                <w:webHidden/>
              </w:rPr>
            </w:r>
            <w:r w:rsidR="002F2431">
              <w:rPr>
                <w:noProof/>
                <w:webHidden/>
              </w:rPr>
              <w:fldChar w:fldCharType="separate"/>
            </w:r>
            <w:r w:rsidR="002F2431">
              <w:rPr>
                <w:noProof/>
                <w:webHidden/>
              </w:rPr>
              <w:t>27</w:t>
            </w:r>
            <w:r w:rsidR="002F2431">
              <w:rPr>
                <w:noProof/>
                <w:webHidden/>
              </w:rPr>
              <w:fldChar w:fldCharType="end"/>
            </w:r>
          </w:hyperlink>
        </w:p>
        <w:p w14:paraId="63416F19" w14:textId="41384CE9" w:rsidR="002F2431" w:rsidRDefault="005E39B6">
          <w:pPr>
            <w:pStyle w:val="TDC2"/>
            <w:rPr>
              <w:rFonts w:eastAsiaTheme="minorEastAsia"/>
              <w:noProof/>
              <w:kern w:val="2"/>
            </w:rPr>
          </w:pPr>
          <w:hyperlink w:anchor="_Toc229834638" w:history="1">
            <w:r w:rsidR="002F2431" w:rsidRPr="00273FB2">
              <w:rPr>
                <w:rStyle w:val="Hipervnculo"/>
                <w:noProof/>
              </w:rPr>
              <w:t>3.2.6</w:t>
            </w:r>
            <w:r w:rsidR="002F2431">
              <w:rPr>
                <w:rFonts w:eastAsiaTheme="minorEastAsia"/>
                <w:noProof/>
                <w:kern w:val="2"/>
              </w:rPr>
              <w:tab/>
            </w:r>
            <w:r w:rsidR="002F2431" w:rsidRPr="00273FB2">
              <w:rPr>
                <w:rStyle w:val="Hipervnculo"/>
                <w:noProof/>
              </w:rPr>
              <w:t>Mortalidad y género</w:t>
            </w:r>
            <w:r w:rsidR="002F2431">
              <w:rPr>
                <w:noProof/>
                <w:webHidden/>
              </w:rPr>
              <w:tab/>
            </w:r>
            <w:r w:rsidR="002F2431">
              <w:rPr>
                <w:noProof/>
                <w:webHidden/>
              </w:rPr>
              <w:fldChar w:fldCharType="begin"/>
            </w:r>
            <w:r w:rsidR="002F2431">
              <w:rPr>
                <w:noProof/>
                <w:webHidden/>
              </w:rPr>
              <w:instrText xml:space="preserve"> PAGEREF _Toc229834638 \h </w:instrText>
            </w:r>
            <w:r w:rsidR="002F2431">
              <w:rPr>
                <w:noProof/>
                <w:webHidden/>
              </w:rPr>
            </w:r>
            <w:r w:rsidR="002F2431">
              <w:rPr>
                <w:noProof/>
                <w:webHidden/>
              </w:rPr>
              <w:fldChar w:fldCharType="separate"/>
            </w:r>
            <w:r w:rsidR="002F2431">
              <w:rPr>
                <w:noProof/>
                <w:webHidden/>
              </w:rPr>
              <w:t>27</w:t>
            </w:r>
            <w:r w:rsidR="002F2431">
              <w:rPr>
                <w:noProof/>
                <w:webHidden/>
              </w:rPr>
              <w:fldChar w:fldCharType="end"/>
            </w:r>
          </w:hyperlink>
        </w:p>
        <w:p w14:paraId="604FF271" w14:textId="432CD0FA" w:rsidR="002F2431" w:rsidRDefault="005E39B6">
          <w:pPr>
            <w:pStyle w:val="TDC2"/>
            <w:rPr>
              <w:rFonts w:eastAsiaTheme="minorEastAsia"/>
              <w:noProof/>
              <w:kern w:val="2"/>
            </w:rPr>
          </w:pPr>
          <w:hyperlink w:anchor="_Toc229834639" w:history="1">
            <w:r w:rsidR="002F2431" w:rsidRPr="00273FB2">
              <w:rPr>
                <w:rStyle w:val="Hipervnculo"/>
                <w:noProof/>
              </w:rPr>
              <w:t>3.2.7</w:t>
            </w:r>
            <w:r w:rsidR="002F2431">
              <w:rPr>
                <w:rFonts w:eastAsiaTheme="minorEastAsia"/>
                <w:noProof/>
                <w:kern w:val="2"/>
              </w:rPr>
              <w:tab/>
            </w:r>
            <w:r w:rsidR="002F2431" w:rsidRPr="00273FB2">
              <w:rPr>
                <w:rStyle w:val="Hipervnculo"/>
                <w:noProof/>
              </w:rPr>
              <w:t>Mortalidad y seguridad social</w:t>
            </w:r>
            <w:r w:rsidR="002F2431">
              <w:rPr>
                <w:noProof/>
                <w:webHidden/>
              </w:rPr>
              <w:tab/>
            </w:r>
            <w:r w:rsidR="002F2431">
              <w:rPr>
                <w:noProof/>
                <w:webHidden/>
              </w:rPr>
              <w:fldChar w:fldCharType="begin"/>
            </w:r>
            <w:r w:rsidR="002F2431">
              <w:rPr>
                <w:noProof/>
                <w:webHidden/>
              </w:rPr>
              <w:instrText xml:space="preserve"> PAGEREF _Toc229834639 \h </w:instrText>
            </w:r>
            <w:r w:rsidR="002F2431">
              <w:rPr>
                <w:noProof/>
                <w:webHidden/>
              </w:rPr>
            </w:r>
            <w:r w:rsidR="002F2431">
              <w:rPr>
                <w:noProof/>
                <w:webHidden/>
              </w:rPr>
              <w:fldChar w:fldCharType="separate"/>
            </w:r>
            <w:r w:rsidR="002F2431">
              <w:rPr>
                <w:noProof/>
                <w:webHidden/>
              </w:rPr>
              <w:t>28</w:t>
            </w:r>
            <w:r w:rsidR="002F2431">
              <w:rPr>
                <w:noProof/>
                <w:webHidden/>
              </w:rPr>
              <w:fldChar w:fldCharType="end"/>
            </w:r>
          </w:hyperlink>
        </w:p>
        <w:p w14:paraId="7614B18A" w14:textId="6A50FB42" w:rsidR="002F2431" w:rsidRDefault="005E39B6">
          <w:pPr>
            <w:pStyle w:val="TDC1"/>
            <w:tabs>
              <w:tab w:val="left" w:pos="660"/>
              <w:tab w:val="right" w:pos="8828"/>
            </w:tabs>
            <w:rPr>
              <w:rFonts w:eastAsiaTheme="minorEastAsia"/>
              <w:noProof/>
              <w:kern w:val="2"/>
            </w:rPr>
          </w:pPr>
          <w:hyperlink w:anchor="_Toc229834640" w:history="1">
            <w:r w:rsidR="002F2431" w:rsidRPr="00273FB2">
              <w:rPr>
                <w:rStyle w:val="Hipervnculo"/>
                <w:noProof/>
                <w:lang w:val="es-CO"/>
              </w:rPr>
              <w:t>3.3</w:t>
            </w:r>
            <w:r w:rsidR="002F2431">
              <w:rPr>
                <w:rFonts w:eastAsiaTheme="minorEastAsia"/>
                <w:noProof/>
                <w:kern w:val="2"/>
              </w:rPr>
              <w:tab/>
            </w:r>
            <w:r w:rsidR="002F2431" w:rsidRPr="00273FB2">
              <w:rPr>
                <w:rStyle w:val="Hipervnculo"/>
                <w:noProof/>
                <w:lang w:val="es-CO"/>
              </w:rPr>
              <w:t>Contexto territorial, social y sanitario de la pandemia COVID-19 en Colombia</w:t>
            </w:r>
            <w:r w:rsidR="002F2431">
              <w:rPr>
                <w:noProof/>
                <w:webHidden/>
              </w:rPr>
              <w:tab/>
            </w:r>
            <w:r w:rsidR="002F2431">
              <w:rPr>
                <w:noProof/>
                <w:webHidden/>
              </w:rPr>
              <w:fldChar w:fldCharType="begin"/>
            </w:r>
            <w:r w:rsidR="002F2431">
              <w:rPr>
                <w:noProof/>
                <w:webHidden/>
              </w:rPr>
              <w:instrText xml:space="preserve"> PAGEREF _Toc229834640 \h </w:instrText>
            </w:r>
            <w:r w:rsidR="002F2431">
              <w:rPr>
                <w:noProof/>
                <w:webHidden/>
              </w:rPr>
            </w:r>
            <w:r w:rsidR="002F2431">
              <w:rPr>
                <w:noProof/>
                <w:webHidden/>
              </w:rPr>
              <w:fldChar w:fldCharType="separate"/>
            </w:r>
            <w:r w:rsidR="002F2431">
              <w:rPr>
                <w:noProof/>
                <w:webHidden/>
              </w:rPr>
              <w:t>28</w:t>
            </w:r>
            <w:r w:rsidR="002F2431">
              <w:rPr>
                <w:noProof/>
                <w:webHidden/>
              </w:rPr>
              <w:fldChar w:fldCharType="end"/>
            </w:r>
          </w:hyperlink>
        </w:p>
        <w:p w14:paraId="12EBE8D5" w14:textId="42A9303E" w:rsidR="002F2431" w:rsidRDefault="005E39B6">
          <w:pPr>
            <w:pStyle w:val="TDC2"/>
            <w:rPr>
              <w:rFonts w:eastAsiaTheme="minorEastAsia"/>
              <w:noProof/>
              <w:kern w:val="2"/>
            </w:rPr>
          </w:pPr>
          <w:hyperlink w:anchor="_Toc229834641" w:history="1">
            <w:r w:rsidR="002F2431" w:rsidRPr="00273FB2">
              <w:rPr>
                <w:rStyle w:val="Hipervnculo"/>
                <w:noProof/>
              </w:rPr>
              <w:t>3.3.1</w:t>
            </w:r>
            <w:r w:rsidR="002F2431">
              <w:rPr>
                <w:rFonts w:eastAsiaTheme="minorEastAsia"/>
                <w:noProof/>
                <w:kern w:val="2"/>
              </w:rPr>
              <w:tab/>
            </w:r>
            <w:r w:rsidR="002F2431" w:rsidRPr="00273FB2">
              <w:rPr>
                <w:rStyle w:val="Hipervnculo"/>
                <w:noProof/>
              </w:rPr>
              <w:t>Contexto territorial</w:t>
            </w:r>
            <w:r w:rsidR="002F2431">
              <w:rPr>
                <w:noProof/>
                <w:webHidden/>
              </w:rPr>
              <w:tab/>
            </w:r>
            <w:r w:rsidR="002F2431">
              <w:rPr>
                <w:noProof/>
                <w:webHidden/>
              </w:rPr>
              <w:fldChar w:fldCharType="begin"/>
            </w:r>
            <w:r w:rsidR="002F2431">
              <w:rPr>
                <w:noProof/>
                <w:webHidden/>
              </w:rPr>
              <w:instrText xml:space="preserve"> PAGEREF _Toc229834641 \h </w:instrText>
            </w:r>
            <w:r w:rsidR="002F2431">
              <w:rPr>
                <w:noProof/>
                <w:webHidden/>
              </w:rPr>
            </w:r>
            <w:r w:rsidR="002F2431">
              <w:rPr>
                <w:noProof/>
                <w:webHidden/>
              </w:rPr>
              <w:fldChar w:fldCharType="separate"/>
            </w:r>
            <w:r w:rsidR="002F2431">
              <w:rPr>
                <w:noProof/>
                <w:webHidden/>
              </w:rPr>
              <w:t>28</w:t>
            </w:r>
            <w:r w:rsidR="002F2431">
              <w:rPr>
                <w:noProof/>
                <w:webHidden/>
              </w:rPr>
              <w:fldChar w:fldCharType="end"/>
            </w:r>
          </w:hyperlink>
        </w:p>
        <w:p w14:paraId="7F4FE3DB" w14:textId="219FAD2C" w:rsidR="002F2431" w:rsidRDefault="005E39B6">
          <w:pPr>
            <w:pStyle w:val="TDC2"/>
            <w:rPr>
              <w:rFonts w:eastAsiaTheme="minorEastAsia"/>
              <w:noProof/>
              <w:kern w:val="2"/>
            </w:rPr>
          </w:pPr>
          <w:hyperlink w:anchor="_Toc229834642" w:history="1">
            <w:r w:rsidR="002F2431" w:rsidRPr="00273FB2">
              <w:rPr>
                <w:rStyle w:val="Hipervnculo"/>
                <w:noProof/>
              </w:rPr>
              <w:t>3.3.2</w:t>
            </w:r>
            <w:r w:rsidR="002F2431">
              <w:rPr>
                <w:rFonts w:eastAsiaTheme="minorEastAsia"/>
                <w:noProof/>
                <w:kern w:val="2"/>
              </w:rPr>
              <w:tab/>
            </w:r>
            <w:r w:rsidR="002F2431" w:rsidRPr="00273FB2">
              <w:rPr>
                <w:rStyle w:val="Hipervnculo"/>
                <w:noProof/>
              </w:rPr>
              <w:t>Factores social y sanitario en Colombia</w:t>
            </w:r>
            <w:r w:rsidR="002F2431">
              <w:rPr>
                <w:noProof/>
                <w:webHidden/>
              </w:rPr>
              <w:tab/>
            </w:r>
            <w:r w:rsidR="002F2431">
              <w:rPr>
                <w:noProof/>
                <w:webHidden/>
              </w:rPr>
              <w:fldChar w:fldCharType="begin"/>
            </w:r>
            <w:r w:rsidR="002F2431">
              <w:rPr>
                <w:noProof/>
                <w:webHidden/>
              </w:rPr>
              <w:instrText xml:space="preserve"> PAGEREF _Toc229834642 \h </w:instrText>
            </w:r>
            <w:r w:rsidR="002F2431">
              <w:rPr>
                <w:noProof/>
                <w:webHidden/>
              </w:rPr>
            </w:r>
            <w:r w:rsidR="002F2431">
              <w:rPr>
                <w:noProof/>
                <w:webHidden/>
              </w:rPr>
              <w:fldChar w:fldCharType="separate"/>
            </w:r>
            <w:r w:rsidR="002F2431">
              <w:rPr>
                <w:noProof/>
                <w:webHidden/>
              </w:rPr>
              <w:t>29</w:t>
            </w:r>
            <w:r w:rsidR="002F2431">
              <w:rPr>
                <w:noProof/>
                <w:webHidden/>
              </w:rPr>
              <w:fldChar w:fldCharType="end"/>
            </w:r>
          </w:hyperlink>
        </w:p>
        <w:p w14:paraId="36E53668" w14:textId="3EA25153" w:rsidR="002F2431" w:rsidRDefault="005E39B6">
          <w:pPr>
            <w:pStyle w:val="TDC2"/>
            <w:rPr>
              <w:rFonts w:eastAsiaTheme="minorEastAsia"/>
              <w:noProof/>
              <w:kern w:val="2"/>
            </w:rPr>
          </w:pPr>
          <w:hyperlink w:anchor="_Toc229834643" w:history="1">
            <w:r w:rsidR="002F2431" w:rsidRPr="00273FB2">
              <w:rPr>
                <w:rStyle w:val="Hipervnculo"/>
                <w:noProof/>
              </w:rPr>
              <w:t>3.3.3</w:t>
            </w:r>
            <w:r w:rsidR="002F2431">
              <w:rPr>
                <w:rFonts w:eastAsiaTheme="minorEastAsia"/>
                <w:noProof/>
                <w:kern w:val="2"/>
              </w:rPr>
              <w:tab/>
            </w:r>
            <w:r w:rsidR="002F2431" w:rsidRPr="00273FB2">
              <w:rPr>
                <w:rStyle w:val="Hipervnculo"/>
                <w:noProof/>
              </w:rPr>
              <w:t>Medidas de salud tomadas en Colombia</w:t>
            </w:r>
            <w:r w:rsidR="002F2431">
              <w:rPr>
                <w:noProof/>
                <w:webHidden/>
              </w:rPr>
              <w:tab/>
            </w:r>
            <w:r w:rsidR="002F2431">
              <w:rPr>
                <w:noProof/>
                <w:webHidden/>
              </w:rPr>
              <w:fldChar w:fldCharType="begin"/>
            </w:r>
            <w:r w:rsidR="002F2431">
              <w:rPr>
                <w:noProof/>
                <w:webHidden/>
              </w:rPr>
              <w:instrText xml:space="preserve"> PAGEREF _Toc229834643 \h </w:instrText>
            </w:r>
            <w:r w:rsidR="002F2431">
              <w:rPr>
                <w:noProof/>
                <w:webHidden/>
              </w:rPr>
            </w:r>
            <w:r w:rsidR="002F2431">
              <w:rPr>
                <w:noProof/>
                <w:webHidden/>
              </w:rPr>
              <w:fldChar w:fldCharType="separate"/>
            </w:r>
            <w:r w:rsidR="002F2431">
              <w:rPr>
                <w:noProof/>
                <w:webHidden/>
              </w:rPr>
              <w:t>32</w:t>
            </w:r>
            <w:r w:rsidR="002F2431">
              <w:rPr>
                <w:noProof/>
                <w:webHidden/>
              </w:rPr>
              <w:fldChar w:fldCharType="end"/>
            </w:r>
          </w:hyperlink>
        </w:p>
        <w:p w14:paraId="1264F259" w14:textId="75F4F860" w:rsidR="002F2431" w:rsidRDefault="005E39B6">
          <w:pPr>
            <w:pStyle w:val="TDC2"/>
            <w:rPr>
              <w:rFonts w:eastAsiaTheme="minorEastAsia"/>
              <w:noProof/>
              <w:kern w:val="2"/>
            </w:rPr>
          </w:pPr>
          <w:hyperlink w:anchor="_Toc229834644" w:history="1">
            <w:r w:rsidR="002F2431" w:rsidRPr="00273FB2">
              <w:rPr>
                <w:rStyle w:val="Hipervnculo"/>
                <w:noProof/>
              </w:rPr>
              <w:t>3.3.4</w:t>
            </w:r>
            <w:r w:rsidR="002F2431">
              <w:rPr>
                <w:rFonts w:eastAsiaTheme="minorEastAsia"/>
                <w:noProof/>
                <w:kern w:val="2"/>
              </w:rPr>
              <w:tab/>
            </w:r>
            <w:r w:rsidR="002F2431" w:rsidRPr="00273FB2">
              <w:rPr>
                <w:rStyle w:val="Hipervnculo"/>
                <w:noProof/>
              </w:rPr>
              <w:t xml:space="preserve"> Índice de pobreza multidimensional</w:t>
            </w:r>
            <w:r w:rsidR="002F2431">
              <w:rPr>
                <w:noProof/>
                <w:webHidden/>
              </w:rPr>
              <w:tab/>
            </w:r>
            <w:r w:rsidR="002F2431">
              <w:rPr>
                <w:noProof/>
                <w:webHidden/>
              </w:rPr>
              <w:fldChar w:fldCharType="begin"/>
            </w:r>
            <w:r w:rsidR="002F2431">
              <w:rPr>
                <w:noProof/>
                <w:webHidden/>
              </w:rPr>
              <w:instrText xml:space="preserve"> PAGEREF _Toc229834644 \h </w:instrText>
            </w:r>
            <w:r w:rsidR="002F2431">
              <w:rPr>
                <w:noProof/>
                <w:webHidden/>
              </w:rPr>
            </w:r>
            <w:r w:rsidR="002F2431">
              <w:rPr>
                <w:noProof/>
                <w:webHidden/>
              </w:rPr>
              <w:fldChar w:fldCharType="separate"/>
            </w:r>
            <w:r w:rsidR="002F2431">
              <w:rPr>
                <w:noProof/>
                <w:webHidden/>
              </w:rPr>
              <w:t>32</w:t>
            </w:r>
            <w:r w:rsidR="002F2431">
              <w:rPr>
                <w:noProof/>
                <w:webHidden/>
              </w:rPr>
              <w:fldChar w:fldCharType="end"/>
            </w:r>
          </w:hyperlink>
        </w:p>
        <w:p w14:paraId="45B20D82" w14:textId="5563F59E" w:rsidR="002F2431" w:rsidRDefault="005E39B6">
          <w:pPr>
            <w:pStyle w:val="TDC1"/>
            <w:tabs>
              <w:tab w:val="left" w:pos="660"/>
              <w:tab w:val="right" w:pos="8828"/>
            </w:tabs>
            <w:rPr>
              <w:rFonts w:eastAsiaTheme="minorEastAsia"/>
              <w:noProof/>
              <w:kern w:val="2"/>
            </w:rPr>
          </w:pPr>
          <w:hyperlink w:anchor="_Toc229834645" w:history="1">
            <w:r w:rsidR="002F2431" w:rsidRPr="00273FB2">
              <w:rPr>
                <w:rStyle w:val="Hipervnculo"/>
                <w:noProof/>
                <w:shd w:val="clear" w:color="auto" w:fill="FFFFFF"/>
                <w:lang w:val="es-CO"/>
              </w:rPr>
              <w:t>3.4</w:t>
            </w:r>
            <w:r w:rsidR="002F2431">
              <w:rPr>
                <w:rFonts w:eastAsiaTheme="minorEastAsia"/>
                <w:noProof/>
                <w:kern w:val="2"/>
              </w:rPr>
              <w:tab/>
            </w:r>
            <w:r w:rsidR="002F2431" w:rsidRPr="00273FB2">
              <w:rPr>
                <w:rStyle w:val="Hipervnculo"/>
                <w:noProof/>
                <w:shd w:val="clear" w:color="auto" w:fill="FFFFFF"/>
                <w:lang w:val="es-CO"/>
              </w:rPr>
              <w:t>Conflicto armado</w:t>
            </w:r>
            <w:r w:rsidR="002F2431">
              <w:rPr>
                <w:noProof/>
                <w:webHidden/>
              </w:rPr>
              <w:tab/>
            </w:r>
            <w:r w:rsidR="002F2431">
              <w:rPr>
                <w:noProof/>
                <w:webHidden/>
              </w:rPr>
              <w:fldChar w:fldCharType="begin"/>
            </w:r>
            <w:r w:rsidR="002F2431">
              <w:rPr>
                <w:noProof/>
                <w:webHidden/>
              </w:rPr>
              <w:instrText xml:space="preserve"> PAGEREF _Toc229834645 \h </w:instrText>
            </w:r>
            <w:r w:rsidR="002F2431">
              <w:rPr>
                <w:noProof/>
                <w:webHidden/>
              </w:rPr>
            </w:r>
            <w:r w:rsidR="002F2431">
              <w:rPr>
                <w:noProof/>
                <w:webHidden/>
              </w:rPr>
              <w:fldChar w:fldCharType="separate"/>
            </w:r>
            <w:r w:rsidR="002F2431">
              <w:rPr>
                <w:noProof/>
                <w:webHidden/>
              </w:rPr>
              <w:t>37</w:t>
            </w:r>
            <w:r w:rsidR="002F2431">
              <w:rPr>
                <w:noProof/>
                <w:webHidden/>
              </w:rPr>
              <w:fldChar w:fldCharType="end"/>
            </w:r>
          </w:hyperlink>
        </w:p>
        <w:p w14:paraId="5ABD1183" w14:textId="347D3C40" w:rsidR="002F2431" w:rsidRDefault="005E39B6">
          <w:pPr>
            <w:pStyle w:val="TDC1"/>
            <w:tabs>
              <w:tab w:val="left" w:pos="660"/>
              <w:tab w:val="right" w:pos="8828"/>
            </w:tabs>
            <w:rPr>
              <w:rFonts w:eastAsiaTheme="minorEastAsia"/>
              <w:noProof/>
              <w:kern w:val="2"/>
            </w:rPr>
          </w:pPr>
          <w:hyperlink w:anchor="_Toc229834646" w:history="1">
            <w:r w:rsidR="002F2431" w:rsidRPr="00273FB2">
              <w:rPr>
                <w:rStyle w:val="Hipervnculo"/>
                <w:noProof/>
                <w:shd w:val="clear" w:color="auto" w:fill="FFFFFF"/>
                <w:lang w:val="es-CO"/>
              </w:rPr>
              <w:t>3.5</w:t>
            </w:r>
            <w:r w:rsidR="002F2431">
              <w:rPr>
                <w:rFonts w:eastAsiaTheme="minorEastAsia"/>
                <w:noProof/>
                <w:kern w:val="2"/>
              </w:rPr>
              <w:tab/>
            </w:r>
            <w:r w:rsidR="002F2431" w:rsidRPr="00273FB2">
              <w:rPr>
                <w:rStyle w:val="Hipervnculo"/>
                <w:noProof/>
                <w:shd w:val="clear" w:color="auto" w:fill="FFFFFF"/>
                <w:lang w:val="es-CO"/>
              </w:rPr>
              <w:t>Edad y COVID-19</w:t>
            </w:r>
            <w:r w:rsidR="002F2431">
              <w:rPr>
                <w:noProof/>
                <w:webHidden/>
              </w:rPr>
              <w:tab/>
            </w:r>
            <w:r w:rsidR="002F2431">
              <w:rPr>
                <w:noProof/>
                <w:webHidden/>
              </w:rPr>
              <w:fldChar w:fldCharType="begin"/>
            </w:r>
            <w:r w:rsidR="002F2431">
              <w:rPr>
                <w:noProof/>
                <w:webHidden/>
              </w:rPr>
              <w:instrText xml:space="preserve"> PAGEREF _Toc229834646 \h </w:instrText>
            </w:r>
            <w:r w:rsidR="002F2431">
              <w:rPr>
                <w:noProof/>
                <w:webHidden/>
              </w:rPr>
            </w:r>
            <w:r w:rsidR="002F2431">
              <w:rPr>
                <w:noProof/>
                <w:webHidden/>
              </w:rPr>
              <w:fldChar w:fldCharType="separate"/>
            </w:r>
            <w:r w:rsidR="002F2431">
              <w:rPr>
                <w:noProof/>
                <w:webHidden/>
              </w:rPr>
              <w:t>40</w:t>
            </w:r>
            <w:r w:rsidR="002F2431">
              <w:rPr>
                <w:noProof/>
                <w:webHidden/>
              </w:rPr>
              <w:fldChar w:fldCharType="end"/>
            </w:r>
          </w:hyperlink>
        </w:p>
        <w:p w14:paraId="2255ADE7" w14:textId="6CA17237" w:rsidR="002F2431" w:rsidRDefault="005E39B6">
          <w:pPr>
            <w:pStyle w:val="TDC1"/>
            <w:tabs>
              <w:tab w:val="left" w:pos="660"/>
              <w:tab w:val="right" w:pos="8828"/>
            </w:tabs>
            <w:rPr>
              <w:rFonts w:eastAsiaTheme="minorEastAsia"/>
              <w:noProof/>
              <w:kern w:val="2"/>
            </w:rPr>
          </w:pPr>
          <w:hyperlink w:anchor="_Toc229834647" w:history="1">
            <w:r w:rsidR="002F2431" w:rsidRPr="00273FB2">
              <w:rPr>
                <w:rStyle w:val="Hipervnculo"/>
                <w:noProof/>
                <w:lang w:val="es-CO"/>
              </w:rPr>
              <w:t>4.</w:t>
            </w:r>
            <w:r w:rsidR="002F2431">
              <w:rPr>
                <w:rFonts w:eastAsiaTheme="minorEastAsia"/>
                <w:noProof/>
                <w:kern w:val="2"/>
              </w:rPr>
              <w:tab/>
            </w:r>
            <w:r w:rsidR="002F2431" w:rsidRPr="00273FB2">
              <w:rPr>
                <w:rStyle w:val="Hipervnculo"/>
                <w:noProof/>
                <w:lang w:val="es-CO"/>
              </w:rPr>
              <w:t>Problema de investigación y pregunta de investigación</w:t>
            </w:r>
            <w:r w:rsidR="002F2431">
              <w:rPr>
                <w:noProof/>
                <w:webHidden/>
              </w:rPr>
              <w:tab/>
            </w:r>
            <w:r w:rsidR="002F2431">
              <w:rPr>
                <w:noProof/>
                <w:webHidden/>
              </w:rPr>
              <w:fldChar w:fldCharType="begin"/>
            </w:r>
            <w:r w:rsidR="002F2431">
              <w:rPr>
                <w:noProof/>
                <w:webHidden/>
              </w:rPr>
              <w:instrText xml:space="preserve"> PAGEREF _Toc229834647 \h </w:instrText>
            </w:r>
            <w:r w:rsidR="002F2431">
              <w:rPr>
                <w:noProof/>
                <w:webHidden/>
              </w:rPr>
            </w:r>
            <w:r w:rsidR="002F2431">
              <w:rPr>
                <w:noProof/>
                <w:webHidden/>
              </w:rPr>
              <w:fldChar w:fldCharType="separate"/>
            </w:r>
            <w:r w:rsidR="002F2431">
              <w:rPr>
                <w:noProof/>
                <w:webHidden/>
              </w:rPr>
              <w:t>43</w:t>
            </w:r>
            <w:r w:rsidR="002F2431">
              <w:rPr>
                <w:noProof/>
                <w:webHidden/>
              </w:rPr>
              <w:fldChar w:fldCharType="end"/>
            </w:r>
          </w:hyperlink>
        </w:p>
        <w:p w14:paraId="4BFD2C31" w14:textId="3D982813" w:rsidR="002F2431" w:rsidRDefault="005E39B6">
          <w:pPr>
            <w:pStyle w:val="TDC1"/>
            <w:tabs>
              <w:tab w:val="left" w:pos="660"/>
              <w:tab w:val="right" w:pos="8828"/>
            </w:tabs>
            <w:rPr>
              <w:rFonts w:eastAsiaTheme="minorEastAsia"/>
              <w:noProof/>
              <w:kern w:val="2"/>
            </w:rPr>
          </w:pPr>
          <w:hyperlink w:anchor="_Toc229834648" w:history="1">
            <w:r w:rsidR="002F2431" w:rsidRPr="00273FB2">
              <w:rPr>
                <w:rStyle w:val="Hipervnculo"/>
                <w:noProof/>
                <w:lang w:val="es-CO"/>
              </w:rPr>
              <w:t>4.1</w:t>
            </w:r>
            <w:r w:rsidR="002F2431">
              <w:rPr>
                <w:rFonts w:eastAsiaTheme="minorEastAsia"/>
                <w:noProof/>
                <w:kern w:val="2"/>
              </w:rPr>
              <w:tab/>
            </w:r>
            <w:r w:rsidR="002F2431" w:rsidRPr="00273FB2">
              <w:rPr>
                <w:rStyle w:val="Hipervnculo"/>
                <w:noProof/>
                <w:lang w:val="es-CO"/>
              </w:rPr>
              <w:t>Problema de investigación</w:t>
            </w:r>
            <w:r w:rsidR="002F2431">
              <w:rPr>
                <w:noProof/>
                <w:webHidden/>
              </w:rPr>
              <w:tab/>
            </w:r>
            <w:r w:rsidR="002F2431">
              <w:rPr>
                <w:noProof/>
                <w:webHidden/>
              </w:rPr>
              <w:fldChar w:fldCharType="begin"/>
            </w:r>
            <w:r w:rsidR="002F2431">
              <w:rPr>
                <w:noProof/>
                <w:webHidden/>
              </w:rPr>
              <w:instrText xml:space="preserve"> PAGEREF _Toc229834648 \h </w:instrText>
            </w:r>
            <w:r w:rsidR="002F2431">
              <w:rPr>
                <w:noProof/>
                <w:webHidden/>
              </w:rPr>
            </w:r>
            <w:r w:rsidR="002F2431">
              <w:rPr>
                <w:noProof/>
                <w:webHidden/>
              </w:rPr>
              <w:fldChar w:fldCharType="separate"/>
            </w:r>
            <w:r w:rsidR="002F2431">
              <w:rPr>
                <w:noProof/>
                <w:webHidden/>
              </w:rPr>
              <w:t>43</w:t>
            </w:r>
            <w:r w:rsidR="002F2431">
              <w:rPr>
                <w:noProof/>
                <w:webHidden/>
              </w:rPr>
              <w:fldChar w:fldCharType="end"/>
            </w:r>
          </w:hyperlink>
        </w:p>
        <w:p w14:paraId="4A953342" w14:textId="243B5633" w:rsidR="002F2431" w:rsidRDefault="005E39B6">
          <w:pPr>
            <w:pStyle w:val="TDC1"/>
            <w:tabs>
              <w:tab w:val="left" w:pos="660"/>
              <w:tab w:val="right" w:pos="8828"/>
            </w:tabs>
            <w:rPr>
              <w:rFonts w:eastAsiaTheme="minorEastAsia"/>
              <w:noProof/>
              <w:kern w:val="2"/>
            </w:rPr>
          </w:pPr>
          <w:hyperlink w:anchor="_Toc229834649" w:history="1">
            <w:r w:rsidR="002F2431" w:rsidRPr="00273FB2">
              <w:rPr>
                <w:rStyle w:val="Hipervnculo"/>
                <w:noProof/>
                <w:lang w:val="es-CO"/>
              </w:rPr>
              <w:t>4.2</w:t>
            </w:r>
            <w:r w:rsidR="002F2431">
              <w:rPr>
                <w:rFonts w:eastAsiaTheme="minorEastAsia"/>
                <w:noProof/>
                <w:kern w:val="2"/>
              </w:rPr>
              <w:tab/>
            </w:r>
            <w:r w:rsidR="002F2431" w:rsidRPr="00273FB2">
              <w:rPr>
                <w:rStyle w:val="Hipervnculo"/>
                <w:noProof/>
                <w:lang w:val="es-CO"/>
              </w:rPr>
              <w:t>Pregunta de investigación</w:t>
            </w:r>
            <w:r w:rsidR="002F2431">
              <w:rPr>
                <w:noProof/>
                <w:webHidden/>
              </w:rPr>
              <w:tab/>
            </w:r>
            <w:r w:rsidR="002F2431">
              <w:rPr>
                <w:noProof/>
                <w:webHidden/>
              </w:rPr>
              <w:fldChar w:fldCharType="begin"/>
            </w:r>
            <w:r w:rsidR="002F2431">
              <w:rPr>
                <w:noProof/>
                <w:webHidden/>
              </w:rPr>
              <w:instrText xml:space="preserve"> PAGEREF _Toc229834649 \h </w:instrText>
            </w:r>
            <w:r w:rsidR="002F2431">
              <w:rPr>
                <w:noProof/>
                <w:webHidden/>
              </w:rPr>
            </w:r>
            <w:r w:rsidR="002F2431">
              <w:rPr>
                <w:noProof/>
                <w:webHidden/>
              </w:rPr>
              <w:fldChar w:fldCharType="separate"/>
            </w:r>
            <w:r w:rsidR="002F2431">
              <w:rPr>
                <w:noProof/>
                <w:webHidden/>
              </w:rPr>
              <w:t>43</w:t>
            </w:r>
            <w:r w:rsidR="002F2431">
              <w:rPr>
                <w:noProof/>
                <w:webHidden/>
              </w:rPr>
              <w:fldChar w:fldCharType="end"/>
            </w:r>
          </w:hyperlink>
        </w:p>
        <w:p w14:paraId="58DC548D" w14:textId="74370868" w:rsidR="002F2431" w:rsidRDefault="005E39B6">
          <w:pPr>
            <w:pStyle w:val="TDC1"/>
            <w:tabs>
              <w:tab w:val="left" w:pos="660"/>
              <w:tab w:val="right" w:pos="8828"/>
            </w:tabs>
            <w:rPr>
              <w:rFonts w:eastAsiaTheme="minorEastAsia"/>
              <w:noProof/>
              <w:kern w:val="2"/>
            </w:rPr>
          </w:pPr>
          <w:hyperlink w:anchor="_Toc229834650" w:history="1">
            <w:r w:rsidR="002F2431" w:rsidRPr="00273FB2">
              <w:rPr>
                <w:rStyle w:val="Hipervnculo"/>
                <w:noProof/>
                <w:lang w:val="es-CO"/>
              </w:rPr>
              <w:t>5.</w:t>
            </w:r>
            <w:r w:rsidR="002F2431">
              <w:rPr>
                <w:rFonts w:eastAsiaTheme="minorEastAsia"/>
                <w:noProof/>
                <w:kern w:val="2"/>
              </w:rPr>
              <w:tab/>
            </w:r>
            <w:r w:rsidR="002F2431" w:rsidRPr="00273FB2">
              <w:rPr>
                <w:rStyle w:val="Hipervnculo"/>
                <w:noProof/>
                <w:lang w:val="es-CO"/>
              </w:rPr>
              <w:t>Objetivo general y específicos</w:t>
            </w:r>
            <w:r w:rsidR="002F2431">
              <w:rPr>
                <w:noProof/>
                <w:webHidden/>
              </w:rPr>
              <w:tab/>
            </w:r>
            <w:r w:rsidR="002F2431">
              <w:rPr>
                <w:noProof/>
                <w:webHidden/>
              </w:rPr>
              <w:fldChar w:fldCharType="begin"/>
            </w:r>
            <w:r w:rsidR="002F2431">
              <w:rPr>
                <w:noProof/>
                <w:webHidden/>
              </w:rPr>
              <w:instrText xml:space="preserve"> PAGEREF _Toc229834650 \h </w:instrText>
            </w:r>
            <w:r w:rsidR="002F2431">
              <w:rPr>
                <w:noProof/>
                <w:webHidden/>
              </w:rPr>
            </w:r>
            <w:r w:rsidR="002F2431">
              <w:rPr>
                <w:noProof/>
                <w:webHidden/>
              </w:rPr>
              <w:fldChar w:fldCharType="separate"/>
            </w:r>
            <w:r w:rsidR="002F2431">
              <w:rPr>
                <w:noProof/>
                <w:webHidden/>
              </w:rPr>
              <w:t>43</w:t>
            </w:r>
            <w:r w:rsidR="002F2431">
              <w:rPr>
                <w:noProof/>
                <w:webHidden/>
              </w:rPr>
              <w:fldChar w:fldCharType="end"/>
            </w:r>
          </w:hyperlink>
        </w:p>
        <w:p w14:paraId="17A47C71" w14:textId="0026FD4E" w:rsidR="002F2431" w:rsidRDefault="005E39B6">
          <w:pPr>
            <w:pStyle w:val="TDC1"/>
            <w:tabs>
              <w:tab w:val="left" w:pos="660"/>
              <w:tab w:val="right" w:pos="8828"/>
            </w:tabs>
            <w:rPr>
              <w:rFonts w:eastAsiaTheme="minorEastAsia"/>
              <w:noProof/>
              <w:kern w:val="2"/>
            </w:rPr>
          </w:pPr>
          <w:hyperlink w:anchor="_Toc229834651" w:history="1">
            <w:r w:rsidR="002F2431" w:rsidRPr="00273FB2">
              <w:rPr>
                <w:rStyle w:val="Hipervnculo"/>
                <w:noProof/>
                <w:lang w:val="es-ES"/>
              </w:rPr>
              <w:t>5.1</w:t>
            </w:r>
            <w:r w:rsidR="002F2431">
              <w:rPr>
                <w:rFonts w:eastAsiaTheme="minorEastAsia"/>
                <w:noProof/>
                <w:kern w:val="2"/>
              </w:rPr>
              <w:tab/>
            </w:r>
            <w:r w:rsidR="002F2431" w:rsidRPr="00273FB2">
              <w:rPr>
                <w:rStyle w:val="Hipervnculo"/>
                <w:noProof/>
                <w:lang w:val="es-ES"/>
              </w:rPr>
              <w:t>Objetivo general</w:t>
            </w:r>
            <w:r w:rsidR="002F2431">
              <w:rPr>
                <w:noProof/>
                <w:webHidden/>
              </w:rPr>
              <w:tab/>
            </w:r>
            <w:r w:rsidR="002F2431">
              <w:rPr>
                <w:noProof/>
                <w:webHidden/>
              </w:rPr>
              <w:fldChar w:fldCharType="begin"/>
            </w:r>
            <w:r w:rsidR="002F2431">
              <w:rPr>
                <w:noProof/>
                <w:webHidden/>
              </w:rPr>
              <w:instrText xml:space="preserve"> PAGEREF _Toc229834651 \h </w:instrText>
            </w:r>
            <w:r w:rsidR="002F2431">
              <w:rPr>
                <w:noProof/>
                <w:webHidden/>
              </w:rPr>
            </w:r>
            <w:r w:rsidR="002F2431">
              <w:rPr>
                <w:noProof/>
                <w:webHidden/>
              </w:rPr>
              <w:fldChar w:fldCharType="separate"/>
            </w:r>
            <w:r w:rsidR="002F2431">
              <w:rPr>
                <w:noProof/>
                <w:webHidden/>
              </w:rPr>
              <w:t>43</w:t>
            </w:r>
            <w:r w:rsidR="002F2431">
              <w:rPr>
                <w:noProof/>
                <w:webHidden/>
              </w:rPr>
              <w:fldChar w:fldCharType="end"/>
            </w:r>
          </w:hyperlink>
        </w:p>
        <w:p w14:paraId="1C46BF03" w14:textId="40E5DD91" w:rsidR="002F2431" w:rsidRDefault="005E39B6">
          <w:pPr>
            <w:pStyle w:val="TDC1"/>
            <w:tabs>
              <w:tab w:val="left" w:pos="660"/>
              <w:tab w:val="right" w:pos="8828"/>
            </w:tabs>
            <w:rPr>
              <w:rFonts w:eastAsiaTheme="minorEastAsia"/>
              <w:noProof/>
              <w:kern w:val="2"/>
            </w:rPr>
          </w:pPr>
          <w:hyperlink w:anchor="_Toc229834652" w:history="1">
            <w:r w:rsidR="002F2431" w:rsidRPr="00273FB2">
              <w:rPr>
                <w:rStyle w:val="Hipervnculo"/>
                <w:noProof/>
                <w:lang w:val="es-ES"/>
              </w:rPr>
              <w:t>5.2</w:t>
            </w:r>
            <w:r w:rsidR="002F2431">
              <w:rPr>
                <w:rFonts w:eastAsiaTheme="minorEastAsia"/>
                <w:noProof/>
                <w:kern w:val="2"/>
              </w:rPr>
              <w:tab/>
            </w:r>
            <w:r w:rsidR="002F2431" w:rsidRPr="00273FB2">
              <w:rPr>
                <w:rStyle w:val="Hipervnculo"/>
                <w:noProof/>
                <w:lang w:val="es-ES"/>
              </w:rPr>
              <w:t>Objetivos específicos</w:t>
            </w:r>
            <w:r w:rsidR="002F2431">
              <w:rPr>
                <w:noProof/>
                <w:webHidden/>
              </w:rPr>
              <w:tab/>
            </w:r>
            <w:r w:rsidR="002F2431">
              <w:rPr>
                <w:noProof/>
                <w:webHidden/>
              </w:rPr>
              <w:fldChar w:fldCharType="begin"/>
            </w:r>
            <w:r w:rsidR="002F2431">
              <w:rPr>
                <w:noProof/>
                <w:webHidden/>
              </w:rPr>
              <w:instrText xml:space="preserve"> PAGEREF _Toc229834652 \h </w:instrText>
            </w:r>
            <w:r w:rsidR="002F2431">
              <w:rPr>
                <w:noProof/>
                <w:webHidden/>
              </w:rPr>
            </w:r>
            <w:r w:rsidR="002F2431">
              <w:rPr>
                <w:noProof/>
                <w:webHidden/>
              </w:rPr>
              <w:fldChar w:fldCharType="separate"/>
            </w:r>
            <w:r w:rsidR="002F2431">
              <w:rPr>
                <w:noProof/>
                <w:webHidden/>
              </w:rPr>
              <w:t>43</w:t>
            </w:r>
            <w:r w:rsidR="002F2431">
              <w:rPr>
                <w:noProof/>
                <w:webHidden/>
              </w:rPr>
              <w:fldChar w:fldCharType="end"/>
            </w:r>
          </w:hyperlink>
        </w:p>
        <w:p w14:paraId="611AA643" w14:textId="688A85E9" w:rsidR="002F2431" w:rsidRDefault="005E39B6">
          <w:pPr>
            <w:pStyle w:val="TDC1"/>
            <w:tabs>
              <w:tab w:val="right" w:pos="8828"/>
            </w:tabs>
            <w:rPr>
              <w:rFonts w:eastAsiaTheme="minorEastAsia"/>
              <w:noProof/>
              <w:kern w:val="2"/>
            </w:rPr>
          </w:pPr>
          <w:hyperlink w:anchor="_Toc229834653" w:history="1">
            <w:r w:rsidR="002F2431" w:rsidRPr="00273FB2">
              <w:rPr>
                <w:rStyle w:val="Hipervnculo"/>
                <w:noProof/>
                <w:lang w:val="es-CO"/>
              </w:rPr>
              <w:t>PARTE II. DESARROLLO DE LA INVESTIGACIÓN</w:t>
            </w:r>
            <w:r w:rsidR="002F2431">
              <w:rPr>
                <w:noProof/>
                <w:webHidden/>
              </w:rPr>
              <w:tab/>
            </w:r>
            <w:r w:rsidR="002F2431">
              <w:rPr>
                <w:noProof/>
                <w:webHidden/>
              </w:rPr>
              <w:fldChar w:fldCharType="begin"/>
            </w:r>
            <w:r w:rsidR="002F2431">
              <w:rPr>
                <w:noProof/>
                <w:webHidden/>
              </w:rPr>
              <w:instrText xml:space="preserve"> PAGEREF _Toc229834653 \h </w:instrText>
            </w:r>
            <w:r w:rsidR="002F2431">
              <w:rPr>
                <w:noProof/>
                <w:webHidden/>
              </w:rPr>
            </w:r>
            <w:r w:rsidR="002F2431">
              <w:rPr>
                <w:noProof/>
                <w:webHidden/>
              </w:rPr>
              <w:fldChar w:fldCharType="separate"/>
            </w:r>
            <w:r w:rsidR="002F2431">
              <w:rPr>
                <w:noProof/>
                <w:webHidden/>
              </w:rPr>
              <w:t>45</w:t>
            </w:r>
            <w:r w:rsidR="002F2431">
              <w:rPr>
                <w:noProof/>
                <w:webHidden/>
              </w:rPr>
              <w:fldChar w:fldCharType="end"/>
            </w:r>
          </w:hyperlink>
        </w:p>
        <w:p w14:paraId="56693FD1" w14:textId="4A7B0C25" w:rsidR="002F2431" w:rsidRDefault="005E39B6">
          <w:pPr>
            <w:pStyle w:val="TDC1"/>
            <w:tabs>
              <w:tab w:val="left" w:pos="660"/>
              <w:tab w:val="right" w:pos="8828"/>
            </w:tabs>
            <w:rPr>
              <w:rFonts w:eastAsiaTheme="minorEastAsia"/>
              <w:noProof/>
              <w:kern w:val="2"/>
            </w:rPr>
          </w:pPr>
          <w:hyperlink w:anchor="_Toc229834654" w:history="1">
            <w:r w:rsidR="002F2431" w:rsidRPr="00273FB2">
              <w:rPr>
                <w:rStyle w:val="Hipervnculo"/>
                <w:rFonts w:cstheme="minorHAnsi"/>
                <w:noProof/>
                <w:lang w:val="es-CO"/>
              </w:rPr>
              <w:t>6.</w:t>
            </w:r>
            <w:r w:rsidR="002F2431">
              <w:rPr>
                <w:rFonts w:eastAsiaTheme="minorEastAsia"/>
                <w:noProof/>
                <w:kern w:val="2"/>
              </w:rPr>
              <w:tab/>
            </w:r>
            <w:r w:rsidR="002F2431" w:rsidRPr="00273FB2">
              <w:rPr>
                <w:rStyle w:val="Hipervnculo"/>
                <w:noProof/>
                <w:lang w:val="es-CO"/>
              </w:rPr>
              <w:t>EXPLORACIÓN DE LAS DESIGUALDADES ESPACIALES EN LA MORTALIDAD POR COVID-19 Y SU ASOCIACIÓN CON LA POBREZA MULTIDIMENSIONAL EN COLOMBIA: UN ESTUDIO DE ANÁLISIS ESPACIAL</w:t>
            </w:r>
            <w:r w:rsidR="002F2431">
              <w:rPr>
                <w:noProof/>
                <w:webHidden/>
              </w:rPr>
              <w:tab/>
            </w:r>
            <w:r w:rsidR="002F2431">
              <w:rPr>
                <w:noProof/>
                <w:webHidden/>
              </w:rPr>
              <w:fldChar w:fldCharType="begin"/>
            </w:r>
            <w:r w:rsidR="002F2431">
              <w:rPr>
                <w:noProof/>
                <w:webHidden/>
              </w:rPr>
              <w:instrText xml:space="preserve"> PAGEREF _Toc229834654 \h </w:instrText>
            </w:r>
            <w:r w:rsidR="002F2431">
              <w:rPr>
                <w:noProof/>
                <w:webHidden/>
              </w:rPr>
            </w:r>
            <w:r w:rsidR="002F2431">
              <w:rPr>
                <w:noProof/>
                <w:webHidden/>
              </w:rPr>
              <w:fldChar w:fldCharType="separate"/>
            </w:r>
            <w:r w:rsidR="002F2431">
              <w:rPr>
                <w:noProof/>
                <w:webHidden/>
              </w:rPr>
              <w:t>47</w:t>
            </w:r>
            <w:r w:rsidR="002F2431">
              <w:rPr>
                <w:noProof/>
                <w:webHidden/>
              </w:rPr>
              <w:fldChar w:fldCharType="end"/>
            </w:r>
          </w:hyperlink>
        </w:p>
        <w:p w14:paraId="1EC208D9" w14:textId="06DEF9F8" w:rsidR="002F2431" w:rsidRDefault="005E39B6">
          <w:pPr>
            <w:pStyle w:val="TDC1"/>
            <w:tabs>
              <w:tab w:val="left" w:pos="660"/>
              <w:tab w:val="right" w:pos="8828"/>
            </w:tabs>
            <w:rPr>
              <w:rFonts w:eastAsiaTheme="minorEastAsia"/>
              <w:noProof/>
              <w:kern w:val="2"/>
            </w:rPr>
          </w:pPr>
          <w:hyperlink w:anchor="_Toc229834655" w:history="1">
            <w:r w:rsidR="002F2431" w:rsidRPr="00273FB2">
              <w:rPr>
                <w:rStyle w:val="Hipervnculo"/>
                <w:noProof/>
                <w:lang w:val="es-CO"/>
              </w:rPr>
              <w:t>6.1</w:t>
            </w:r>
            <w:r w:rsidR="002F2431">
              <w:rPr>
                <w:rFonts w:eastAsiaTheme="minorEastAsia"/>
                <w:noProof/>
                <w:kern w:val="2"/>
              </w:rPr>
              <w:tab/>
            </w:r>
            <w:r w:rsidR="002F2431" w:rsidRPr="00273FB2">
              <w:rPr>
                <w:rStyle w:val="Hipervnculo"/>
                <w:noProof/>
                <w:lang w:val="es-CO"/>
              </w:rPr>
              <w:t>RESUMEN</w:t>
            </w:r>
            <w:r w:rsidR="002F2431">
              <w:rPr>
                <w:noProof/>
                <w:webHidden/>
              </w:rPr>
              <w:tab/>
            </w:r>
            <w:r w:rsidR="002F2431">
              <w:rPr>
                <w:noProof/>
                <w:webHidden/>
              </w:rPr>
              <w:fldChar w:fldCharType="begin"/>
            </w:r>
            <w:r w:rsidR="002F2431">
              <w:rPr>
                <w:noProof/>
                <w:webHidden/>
              </w:rPr>
              <w:instrText xml:space="preserve"> PAGEREF _Toc229834655 \h </w:instrText>
            </w:r>
            <w:r w:rsidR="002F2431">
              <w:rPr>
                <w:noProof/>
                <w:webHidden/>
              </w:rPr>
            </w:r>
            <w:r w:rsidR="002F2431">
              <w:rPr>
                <w:noProof/>
                <w:webHidden/>
              </w:rPr>
              <w:fldChar w:fldCharType="separate"/>
            </w:r>
            <w:r w:rsidR="002F2431">
              <w:rPr>
                <w:noProof/>
                <w:webHidden/>
              </w:rPr>
              <w:t>47</w:t>
            </w:r>
            <w:r w:rsidR="002F2431">
              <w:rPr>
                <w:noProof/>
                <w:webHidden/>
              </w:rPr>
              <w:fldChar w:fldCharType="end"/>
            </w:r>
          </w:hyperlink>
        </w:p>
        <w:p w14:paraId="14DA3118" w14:textId="7D3B8199" w:rsidR="002F2431" w:rsidRDefault="005E39B6">
          <w:pPr>
            <w:pStyle w:val="TDC1"/>
            <w:tabs>
              <w:tab w:val="left" w:pos="660"/>
              <w:tab w:val="right" w:pos="8828"/>
            </w:tabs>
            <w:rPr>
              <w:rFonts w:eastAsiaTheme="minorEastAsia"/>
              <w:noProof/>
              <w:kern w:val="2"/>
            </w:rPr>
          </w:pPr>
          <w:hyperlink w:anchor="_Toc229834656" w:history="1">
            <w:r w:rsidR="002F2431" w:rsidRPr="00273FB2">
              <w:rPr>
                <w:rStyle w:val="Hipervnculo"/>
                <w:noProof/>
                <w:lang w:val="es-CO"/>
              </w:rPr>
              <w:t>6.2</w:t>
            </w:r>
            <w:r w:rsidR="002F2431">
              <w:rPr>
                <w:rFonts w:eastAsiaTheme="minorEastAsia"/>
                <w:noProof/>
                <w:kern w:val="2"/>
              </w:rPr>
              <w:tab/>
            </w:r>
            <w:r w:rsidR="002F2431" w:rsidRPr="00273FB2">
              <w:rPr>
                <w:rStyle w:val="Hipervnculo"/>
                <w:noProof/>
                <w:lang w:val="es-CO"/>
              </w:rPr>
              <w:t>INTRODUCCION</w:t>
            </w:r>
            <w:r w:rsidR="002F2431">
              <w:rPr>
                <w:noProof/>
                <w:webHidden/>
              </w:rPr>
              <w:tab/>
            </w:r>
            <w:r w:rsidR="002F2431">
              <w:rPr>
                <w:noProof/>
                <w:webHidden/>
              </w:rPr>
              <w:fldChar w:fldCharType="begin"/>
            </w:r>
            <w:r w:rsidR="002F2431">
              <w:rPr>
                <w:noProof/>
                <w:webHidden/>
              </w:rPr>
              <w:instrText xml:space="preserve"> PAGEREF _Toc229834656 \h </w:instrText>
            </w:r>
            <w:r w:rsidR="002F2431">
              <w:rPr>
                <w:noProof/>
                <w:webHidden/>
              </w:rPr>
            </w:r>
            <w:r w:rsidR="002F2431">
              <w:rPr>
                <w:noProof/>
                <w:webHidden/>
              </w:rPr>
              <w:fldChar w:fldCharType="separate"/>
            </w:r>
            <w:r w:rsidR="002F2431">
              <w:rPr>
                <w:noProof/>
                <w:webHidden/>
              </w:rPr>
              <w:t>48</w:t>
            </w:r>
            <w:r w:rsidR="002F2431">
              <w:rPr>
                <w:noProof/>
                <w:webHidden/>
              </w:rPr>
              <w:fldChar w:fldCharType="end"/>
            </w:r>
          </w:hyperlink>
        </w:p>
        <w:p w14:paraId="119A2B68" w14:textId="4D277AEF" w:rsidR="002F2431" w:rsidRDefault="005E39B6">
          <w:pPr>
            <w:pStyle w:val="TDC1"/>
            <w:tabs>
              <w:tab w:val="left" w:pos="660"/>
              <w:tab w:val="right" w:pos="8828"/>
            </w:tabs>
            <w:rPr>
              <w:rFonts w:eastAsiaTheme="minorEastAsia"/>
              <w:noProof/>
              <w:kern w:val="2"/>
            </w:rPr>
          </w:pPr>
          <w:hyperlink w:anchor="_Toc229834657" w:history="1">
            <w:r w:rsidR="002F2431" w:rsidRPr="00273FB2">
              <w:rPr>
                <w:rStyle w:val="Hipervnculo"/>
                <w:noProof/>
                <w:lang w:val="es-CO"/>
              </w:rPr>
              <w:t>6.3</w:t>
            </w:r>
            <w:r w:rsidR="002F2431">
              <w:rPr>
                <w:rFonts w:eastAsiaTheme="minorEastAsia"/>
                <w:noProof/>
                <w:kern w:val="2"/>
              </w:rPr>
              <w:tab/>
            </w:r>
            <w:r w:rsidR="002F2431" w:rsidRPr="00273FB2">
              <w:rPr>
                <w:rStyle w:val="Hipervnculo"/>
                <w:noProof/>
                <w:lang w:val="es-CO"/>
              </w:rPr>
              <w:t>METODOLOGÍA</w:t>
            </w:r>
            <w:r w:rsidR="002F2431">
              <w:rPr>
                <w:noProof/>
                <w:webHidden/>
              </w:rPr>
              <w:tab/>
            </w:r>
            <w:r w:rsidR="002F2431">
              <w:rPr>
                <w:noProof/>
                <w:webHidden/>
              </w:rPr>
              <w:fldChar w:fldCharType="begin"/>
            </w:r>
            <w:r w:rsidR="002F2431">
              <w:rPr>
                <w:noProof/>
                <w:webHidden/>
              </w:rPr>
              <w:instrText xml:space="preserve"> PAGEREF _Toc229834657 \h </w:instrText>
            </w:r>
            <w:r w:rsidR="002F2431">
              <w:rPr>
                <w:noProof/>
                <w:webHidden/>
              </w:rPr>
            </w:r>
            <w:r w:rsidR="002F2431">
              <w:rPr>
                <w:noProof/>
                <w:webHidden/>
              </w:rPr>
              <w:fldChar w:fldCharType="separate"/>
            </w:r>
            <w:r w:rsidR="002F2431">
              <w:rPr>
                <w:noProof/>
                <w:webHidden/>
              </w:rPr>
              <w:t>49</w:t>
            </w:r>
            <w:r w:rsidR="002F2431">
              <w:rPr>
                <w:noProof/>
                <w:webHidden/>
              </w:rPr>
              <w:fldChar w:fldCharType="end"/>
            </w:r>
          </w:hyperlink>
        </w:p>
        <w:p w14:paraId="627FE568" w14:textId="36FA5A58" w:rsidR="002F2431" w:rsidRDefault="005E39B6">
          <w:pPr>
            <w:pStyle w:val="TDC2"/>
            <w:rPr>
              <w:rFonts w:eastAsiaTheme="minorEastAsia"/>
              <w:noProof/>
              <w:kern w:val="2"/>
            </w:rPr>
          </w:pPr>
          <w:hyperlink w:anchor="_Toc229834658" w:history="1">
            <w:r w:rsidR="002F2431" w:rsidRPr="00273FB2">
              <w:rPr>
                <w:rStyle w:val="Hipervnculo"/>
                <w:noProof/>
              </w:rPr>
              <w:t>6.3.1</w:t>
            </w:r>
            <w:r w:rsidR="002F2431">
              <w:rPr>
                <w:rFonts w:eastAsiaTheme="minorEastAsia"/>
                <w:noProof/>
                <w:kern w:val="2"/>
              </w:rPr>
              <w:tab/>
            </w:r>
            <w:r w:rsidR="002F2431" w:rsidRPr="00273FB2">
              <w:rPr>
                <w:rStyle w:val="Hipervnculo"/>
                <w:noProof/>
              </w:rPr>
              <w:t>Diseño del estudio y recolección de datos</w:t>
            </w:r>
            <w:r w:rsidR="002F2431">
              <w:rPr>
                <w:noProof/>
                <w:webHidden/>
              </w:rPr>
              <w:tab/>
            </w:r>
            <w:r w:rsidR="002F2431">
              <w:rPr>
                <w:noProof/>
                <w:webHidden/>
              </w:rPr>
              <w:fldChar w:fldCharType="begin"/>
            </w:r>
            <w:r w:rsidR="002F2431">
              <w:rPr>
                <w:noProof/>
                <w:webHidden/>
              </w:rPr>
              <w:instrText xml:space="preserve"> PAGEREF _Toc229834658 \h </w:instrText>
            </w:r>
            <w:r w:rsidR="002F2431">
              <w:rPr>
                <w:noProof/>
                <w:webHidden/>
              </w:rPr>
            </w:r>
            <w:r w:rsidR="002F2431">
              <w:rPr>
                <w:noProof/>
                <w:webHidden/>
              </w:rPr>
              <w:fldChar w:fldCharType="separate"/>
            </w:r>
            <w:r w:rsidR="002F2431">
              <w:rPr>
                <w:noProof/>
                <w:webHidden/>
              </w:rPr>
              <w:t>49</w:t>
            </w:r>
            <w:r w:rsidR="002F2431">
              <w:rPr>
                <w:noProof/>
                <w:webHidden/>
              </w:rPr>
              <w:fldChar w:fldCharType="end"/>
            </w:r>
          </w:hyperlink>
        </w:p>
        <w:p w14:paraId="5F90C290" w14:textId="0C4DF3AF" w:rsidR="002F2431" w:rsidRDefault="005E39B6">
          <w:pPr>
            <w:pStyle w:val="TDC2"/>
            <w:rPr>
              <w:rFonts w:eastAsiaTheme="minorEastAsia"/>
              <w:noProof/>
              <w:kern w:val="2"/>
            </w:rPr>
          </w:pPr>
          <w:hyperlink w:anchor="_Toc229834659" w:history="1">
            <w:r w:rsidR="002F2431" w:rsidRPr="00273FB2">
              <w:rPr>
                <w:rStyle w:val="Hipervnculo"/>
                <w:noProof/>
              </w:rPr>
              <w:t>6.3.2</w:t>
            </w:r>
            <w:r w:rsidR="002F2431">
              <w:rPr>
                <w:rFonts w:eastAsiaTheme="minorEastAsia"/>
                <w:noProof/>
                <w:kern w:val="2"/>
              </w:rPr>
              <w:tab/>
            </w:r>
            <w:r w:rsidR="002F2431" w:rsidRPr="00273FB2">
              <w:rPr>
                <w:rStyle w:val="Hipervnculo"/>
                <w:noProof/>
              </w:rPr>
              <w:t>Medición de pobreza multidimensional</w:t>
            </w:r>
            <w:r w:rsidR="002F2431">
              <w:rPr>
                <w:noProof/>
                <w:webHidden/>
              </w:rPr>
              <w:tab/>
            </w:r>
            <w:r w:rsidR="002F2431">
              <w:rPr>
                <w:noProof/>
                <w:webHidden/>
              </w:rPr>
              <w:fldChar w:fldCharType="begin"/>
            </w:r>
            <w:r w:rsidR="002F2431">
              <w:rPr>
                <w:noProof/>
                <w:webHidden/>
              </w:rPr>
              <w:instrText xml:space="preserve"> PAGEREF _Toc229834659 \h </w:instrText>
            </w:r>
            <w:r w:rsidR="002F2431">
              <w:rPr>
                <w:noProof/>
                <w:webHidden/>
              </w:rPr>
            </w:r>
            <w:r w:rsidR="002F2431">
              <w:rPr>
                <w:noProof/>
                <w:webHidden/>
              </w:rPr>
              <w:fldChar w:fldCharType="separate"/>
            </w:r>
            <w:r w:rsidR="002F2431">
              <w:rPr>
                <w:noProof/>
                <w:webHidden/>
              </w:rPr>
              <w:t>50</w:t>
            </w:r>
            <w:r w:rsidR="002F2431">
              <w:rPr>
                <w:noProof/>
                <w:webHidden/>
              </w:rPr>
              <w:fldChar w:fldCharType="end"/>
            </w:r>
          </w:hyperlink>
        </w:p>
        <w:p w14:paraId="4F84EAD9" w14:textId="2FA9B054" w:rsidR="002F2431" w:rsidRDefault="005E39B6">
          <w:pPr>
            <w:pStyle w:val="TDC2"/>
            <w:rPr>
              <w:rFonts w:eastAsiaTheme="minorEastAsia"/>
              <w:noProof/>
              <w:kern w:val="2"/>
            </w:rPr>
          </w:pPr>
          <w:hyperlink w:anchor="_Toc229834660" w:history="1">
            <w:r w:rsidR="002F2431" w:rsidRPr="00273FB2">
              <w:rPr>
                <w:rStyle w:val="Hipervnculo"/>
                <w:noProof/>
              </w:rPr>
              <w:t xml:space="preserve">6.3.3 </w:t>
            </w:r>
            <w:r w:rsidR="002F2431">
              <w:rPr>
                <w:rFonts w:eastAsiaTheme="minorEastAsia"/>
                <w:noProof/>
                <w:kern w:val="2"/>
              </w:rPr>
              <w:tab/>
            </w:r>
            <w:r w:rsidR="002F2431" w:rsidRPr="00273FB2">
              <w:rPr>
                <w:rStyle w:val="Hipervnculo"/>
                <w:noProof/>
              </w:rPr>
              <w:t>Categorización de los municipios</w:t>
            </w:r>
            <w:r w:rsidR="002F2431">
              <w:rPr>
                <w:noProof/>
                <w:webHidden/>
              </w:rPr>
              <w:tab/>
            </w:r>
            <w:r w:rsidR="002F2431">
              <w:rPr>
                <w:noProof/>
                <w:webHidden/>
              </w:rPr>
              <w:fldChar w:fldCharType="begin"/>
            </w:r>
            <w:r w:rsidR="002F2431">
              <w:rPr>
                <w:noProof/>
                <w:webHidden/>
              </w:rPr>
              <w:instrText xml:space="preserve"> PAGEREF _Toc229834660 \h </w:instrText>
            </w:r>
            <w:r w:rsidR="002F2431">
              <w:rPr>
                <w:noProof/>
                <w:webHidden/>
              </w:rPr>
            </w:r>
            <w:r w:rsidR="002F2431">
              <w:rPr>
                <w:noProof/>
                <w:webHidden/>
              </w:rPr>
              <w:fldChar w:fldCharType="separate"/>
            </w:r>
            <w:r w:rsidR="002F2431">
              <w:rPr>
                <w:noProof/>
                <w:webHidden/>
              </w:rPr>
              <w:t>50</w:t>
            </w:r>
            <w:r w:rsidR="002F2431">
              <w:rPr>
                <w:noProof/>
                <w:webHidden/>
              </w:rPr>
              <w:fldChar w:fldCharType="end"/>
            </w:r>
          </w:hyperlink>
        </w:p>
        <w:p w14:paraId="39326D2F" w14:textId="1DA06B85" w:rsidR="002F2431" w:rsidRDefault="005E39B6">
          <w:pPr>
            <w:pStyle w:val="TDC1"/>
            <w:tabs>
              <w:tab w:val="left" w:pos="660"/>
              <w:tab w:val="right" w:pos="8828"/>
            </w:tabs>
            <w:rPr>
              <w:rFonts w:eastAsiaTheme="minorEastAsia"/>
              <w:noProof/>
              <w:kern w:val="2"/>
            </w:rPr>
          </w:pPr>
          <w:hyperlink w:anchor="_Toc229834661" w:history="1">
            <w:r w:rsidR="002F2431" w:rsidRPr="00273FB2">
              <w:rPr>
                <w:rStyle w:val="Hipervnculo"/>
                <w:noProof/>
                <w:lang w:val="es-CO"/>
              </w:rPr>
              <w:t>6.4</w:t>
            </w:r>
            <w:r w:rsidR="002F2431">
              <w:rPr>
                <w:rFonts w:eastAsiaTheme="minorEastAsia"/>
                <w:noProof/>
                <w:kern w:val="2"/>
              </w:rPr>
              <w:tab/>
            </w:r>
            <w:r w:rsidR="002F2431" w:rsidRPr="00273FB2">
              <w:rPr>
                <w:rStyle w:val="Hipervnculo"/>
                <w:noProof/>
                <w:lang w:val="es-CO"/>
              </w:rPr>
              <w:t>ANÁLISIS ESTADÍSTICO</w:t>
            </w:r>
            <w:r w:rsidR="002F2431">
              <w:rPr>
                <w:noProof/>
                <w:webHidden/>
              </w:rPr>
              <w:tab/>
            </w:r>
            <w:r w:rsidR="002F2431">
              <w:rPr>
                <w:noProof/>
                <w:webHidden/>
              </w:rPr>
              <w:fldChar w:fldCharType="begin"/>
            </w:r>
            <w:r w:rsidR="002F2431">
              <w:rPr>
                <w:noProof/>
                <w:webHidden/>
              </w:rPr>
              <w:instrText xml:space="preserve"> PAGEREF _Toc229834661 \h </w:instrText>
            </w:r>
            <w:r w:rsidR="002F2431">
              <w:rPr>
                <w:noProof/>
                <w:webHidden/>
              </w:rPr>
            </w:r>
            <w:r w:rsidR="002F2431">
              <w:rPr>
                <w:noProof/>
                <w:webHidden/>
              </w:rPr>
              <w:fldChar w:fldCharType="separate"/>
            </w:r>
            <w:r w:rsidR="002F2431">
              <w:rPr>
                <w:noProof/>
                <w:webHidden/>
              </w:rPr>
              <w:t>51</w:t>
            </w:r>
            <w:r w:rsidR="002F2431">
              <w:rPr>
                <w:noProof/>
                <w:webHidden/>
              </w:rPr>
              <w:fldChar w:fldCharType="end"/>
            </w:r>
          </w:hyperlink>
        </w:p>
        <w:p w14:paraId="5E93828F" w14:textId="28C0EF3F" w:rsidR="002F2431" w:rsidRDefault="005E39B6">
          <w:pPr>
            <w:pStyle w:val="TDC1"/>
            <w:tabs>
              <w:tab w:val="left" w:pos="660"/>
              <w:tab w:val="right" w:pos="8828"/>
            </w:tabs>
            <w:rPr>
              <w:rFonts w:eastAsiaTheme="minorEastAsia"/>
              <w:noProof/>
              <w:kern w:val="2"/>
            </w:rPr>
          </w:pPr>
          <w:hyperlink w:anchor="_Toc229834662" w:history="1">
            <w:r w:rsidR="002F2431" w:rsidRPr="00273FB2">
              <w:rPr>
                <w:rStyle w:val="Hipervnculo"/>
                <w:noProof/>
                <w:lang w:val="es-CO"/>
              </w:rPr>
              <w:t>6.5</w:t>
            </w:r>
            <w:r w:rsidR="002F2431">
              <w:rPr>
                <w:rFonts w:eastAsiaTheme="minorEastAsia"/>
                <w:noProof/>
                <w:kern w:val="2"/>
              </w:rPr>
              <w:tab/>
            </w:r>
            <w:r w:rsidR="002F2431" w:rsidRPr="00273FB2">
              <w:rPr>
                <w:rStyle w:val="Hipervnculo"/>
                <w:noProof/>
                <w:lang w:val="es-CO"/>
              </w:rPr>
              <w:t>RESULTADOS</w:t>
            </w:r>
            <w:r w:rsidR="002F2431">
              <w:rPr>
                <w:noProof/>
                <w:webHidden/>
              </w:rPr>
              <w:tab/>
            </w:r>
            <w:r w:rsidR="002F2431">
              <w:rPr>
                <w:noProof/>
                <w:webHidden/>
              </w:rPr>
              <w:fldChar w:fldCharType="begin"/>
            </w:r>
            <w:r w:rsidR="002F2431">
              <w:rPr>
                <w:noProof/>
                <w:webHidden/>
              </w:rPr>
              <w:instrText xml:space="preserve"> PAGEREF _Toc229834662 \h </w:instrText>
            </w:r>
            <w:r w:rsidR="002F2431">
              <w:rPr>
                <w:noProof/>
                <w:webHidden/>
              </w:rPr>
            </w:r>
            <w:r w:rsidR="002F2431">
              <w:rPr>
                <w:noProof/>
                <w:webHidden/>
              </w:rPr>
              <w:fldChar w:fldCharType="separate"/>
            </w:r>
            <w:r w:rsidR="002F2431">
              <w:rPr>
                <w:noProof/>
                <w:webHidden/>
              </w:rPr>
              <w:t>52</w:t>
            </w:r>
            <w:r w:rsidR="002F2431">
              <w:rPr>
                <w:noProof/>
                <w:webHidden/>
              </w:rPr>
              <w:fldChar w:fldCharType="end"/>
            </w:r>
          </w:hyperlink>
        </w:p>
        <w:p w14:paraId="5C0483A9" w14:textId="492AECB2" w:rsidR="002F2431" w:rsidRDefault="005E39B6">
          <w:pPr>
            <w:pStyle w:val="TDC1"/>
            <w:tabs>
              <w:tab w:val="left" w:pos="660"/>
              <w:tab w:val="right" w:pos="8828"/>
            </w:tabs>
            <w:rPr>
              <w:rFonts w:eastAsiaTheme="minorEastAsia"/>
              <w:noProof/>
              <w:kern w:val="2"/>
            </w:rPr>
          </w:pPr>
          <w:hyperlink w:anchor="_Toc229834663" w:history="1">
            <w:r w:rsidR="002F2431" w:rsidRPr="00273FB2">
              <w:rPr>
                <w:rStyle w:val="Hipervnculo"/>
                <w:noProof/>
              </w:rPr>
              <w:t>6.6</w:t>
            </w:r>
            <w:r w:rsidR="002F2431">
              <w:rPr>
                <w:rFonts w:eastAsiaTheme="minorEastAsia"/>
                <w:noProof/>
                <w:kern w:val="2"/>
              </w:rPr>
              <w:tab/>
            </w:r>
            <w:r w:rsidR="002F2431" w:rsidRPr="00273FB2">
              <w:rPr>
                <w:rStyle w:val="Hipervnculo"/>
                <w:noProof/>
              </w:rPr>
              <w:t>DISCUSION</w:t>
            </w:r>
            <w:r w:rsidR="002F2431">
              <w:rPr>
                <w:noProof/>
                <w:webHidden/>
              </w:rPr>
              <w:tab/>
            </w:r>
            <w:r w:rsidR="002F2431">
              <w:rPr>
                <w:noProof/>
                <w:webHidden/>
              </w:rPr>
              <w:fldChar w:fldCharType="begin"/>
            </w:r>
            <w:r w:rsidR="002F2431">
              <w:rPr>
                <w:noProof/>
                <w:webHidden/>
              </w:rPr>
              <w:instrText xml:space="preserve"> PAGEREF _Toc229834663 \h </w:instrText>
            </w:r>
            <w:r w:rsidR="002F2431">
              <w:rPr>
                <w:noProof/>
                <w:webHidden/>
              </w:rPr>
            </w:r>
            <w:r w:rsidR="002F2431">
              <w:rPr>
                <w:noProof/>
                <w:webHidden/>
              </w:rPr>
              <w:fldChar w:fldCharType="separate"/>
            </w:r>
            <w:r w:rsidR="002F2431">
              <w:rPr>
                <w:noProof/>
                <w:webHidden/>
              </w:rPr>
              <w:t>59</w:t>
            </w:r>
            <w:r w:rsidR="002F2431">
              <w:rPr>
                <w:noProof/>
                <w:webHidden/>
              </w:rPr>
              <w:fldChar w:fldCharType="end"/>
            </w:r>
          </w:hyperlink>
        </w:p>
        <w:p w14:paraId="343BD0D3" w14:textId="3F539619" w:rsidR="002F2431" w:rsidRDefault="005E39B6">
          <w:pPr>
            <w:pStyle w:val="TDC1"/>
            <w:tabs>
              <w:tab w:val="left" w:pos="660"/>
              <w:tab w:val="right" w:pos="8828"/>
            </w:tabs>
            <w:rPr>
              <w:rFonts w:eastAsiaTheme="minorEastAsia"/>
              <w:noProof/>
              <w:kern w:val="2"/>
            </w:rPr>
          </w:pPr>
          <w:hyperlink w:anchor="_Toc229834664" w:history="1">
            <w:r w:rsidR="002F2431" w:rsidRPr="00273FB2">
              <w:rPr>
                <w:rStyle w:val="Hipervnculo"/>
                <w:noProof/>
                <w:lang w:val="es-CO"/>
              </w:rPr>
              <w:t>7.</w:t>
            </w:r>
            <w:r w:rsidR="002F2431">
              <w:rPr>
                <w:rFonts w:eastAsiaTheme="minorEastAsia"/>
                <w:noProof/>
                <w:kern w:val="2"/>
              </w:rPr>
              <w:tab/>
            </w:r>
            <w:r w:rsidR="002F2431" w:rsidRPr="00273FB2">
              <w:rPr>
                <w:rStyle w:val="Hipervnculo"/>
                <w:noProof/>
                <w:lang w:val="es-CO"/>
              </w:rPr>
              <w:t>MORTALIDAD POR COVID-19 ASOCIADA CON POBREZA MULTIDIMENSIONAL, ETNIAS Y CONFLICTO ARMADO EN COLOMBIA: ESTUDIO OBSERVACIONAL RETROSPECTIVO BASADO EN REGISTROS NACIONALES.</w:t>
            </w:r>
            <w:r w:rsidR="002F2431">
              <w:rPr>
                <w:noProof/>
                <w:webHidden/>
              </w:rPr>
              <w:tab/>
            </w:r>
            <w:r w:rsidR="002F2431">
              <w:rPr>
                <w:noProof/>
                <w:webHidden/>
              </w:rPr>
              <w:fldChar w:fldCharType="begin"/>
            </w:r>
            <w:r w:rsidR="002F2431">
              <w:rPr>
                <w:noProof/>
                <w:webHidden/>
              </w:rPr>
              <w:instrText xml:space="preserve"> PAGEREF _Toc229834664 \h </w:instrText>
            </w:r>
            <w:r w:rsidR="002F2431">
              <w:rPr>
                <w:noProof/>
                <w:webHidden/>
              </w:rPr>
            </w:r>
            <w:r w:rsidR="002F2431">
              <w:rPr>
                <w:noProof/>
                <w:webHidden/>
              </w:rPr>
              <w:fldChar w:fldCharType="separate"/>
            </w:r>
            <w:r w:rsidR="002F2431">
              <w:rPr>
                <w:noProof/>
                <w:webHidden/>
              </w:rPr>
              <w:t>64</w:t>
            </w:r>
            <w:r w:rsidR="002F2431">
              <w:rPr>
                <w:noProof/>
                <w:webHidden/>
              </w:rPr>
              <w:fldChar w:fldCharType="end"/>
            </w:r>
          </w:hyperlink>
        </w:p>
        <w:p w14:paraId="75C6EDBD" w14:textId="408893D0" w:rsidR="002F2431" w:rsidRDefault="005E39B6">
          <w:pPr>
            <w:pStyle w:val="TDC1"/>
            <w:tabs>
              <w:tab w:val="left" w:pos="660"/>
              <w:tab w:val="right" w:pos="8828"/>
            </w:tabs>
            <w:rPr>
              <w:rFonts w:eastAsiaTheme="minorEastAsia"/>
              <w:noProof/>
              <w:kern w:val="2"/>
            </w:rPr>
          </w:pPr>
          <w:hyperlink w:anchor="_Toc229834665" w:history="1">
            <w:r w:rsidR="002F2431" w:rsidRPr="00273FB2">
              <w:rPr>
                <w:rStyle w:val="Hipervnculo"/>
                <w:noProof/>
                <w:lang w:val="es-CO"/>
              </w:rPr>
              <w:t>7.1</w:t>
            </w:r>
            <w:r w:rsidR="002F2431">
              <w:rPr>
                <w:rFonts w:eastAsiaTheme="minorEastAsia"/>
                <w:noProof/>
                <w:kern w:val="2"/>
              </w:rPr>
              <w:tab/>
            </w:r>
            <w:r w:rsidR="002F2431" w:rsidRPr="00273FB2">
              <w:rPr>
                <w:rStyle w:val="Hipervnculo"/>
                <w:noProof/>
                <w:lang w:val="es-CO"/>
              </w:rPr>
              <w:t>RESUMEN</w:t>
            </w:r>
            <w:r w:rsidR="002F2431">
              <w:rPr>
                <w:noProof/>
                <w:webHidden/>
              </w:rPr>
              <w:tab/>
            </w:r>
            <w:r w:rsidR="002F2431">
              <w:rPr>
                <w:noProof/>
                <w:webHidden/>
              </w:rPr>
              <w:fldChar w:fldCharType="begin"/>
            </w:r>
            <w:r w:rsidR="002F2431">
              <w:rPr>
                <w:noProof/>
                <w:webHidden/>
              </w:rPr>
              <w:instrText xml:space="preserve"> PAGEREF _Toc229834665 \h </w:instrText>
            </w:r>
            <w:r w:rsidR="002F2431">
              <w:rPr>
                <w:noProof/>
                <w:webHidden/>
              </w:rPr>
            </w:r>
            <w:r w:rsidR="002F2431">
              <w:rPr>
                <w:noProof/>
                <w:webHidden/>
              </w:rPr>
              <w:fldChar w:fldCharType="separate"/>
            </w:r>
            <w:r w:rsidR="002F2431">
              <w:rPr>
                <w:noProof/>
                <w:webHidden/>
              </w:rPr>
              <w:t>64</w:t>
            </w:r>
            <w:r w:rsidR="002F2431">
              <w:rPr>
                <w:noProof/>
                <w:webHidden/>
              </w:rPr>
              <w:fldChar w:fldCharType="end"/>
            </w:r>
          </w:hyperlink>
        </w:p>
        <w:p w14:paraId="6B9B699D" w14:textId="417A91E5" w:rsidR="002F2431" w:rsidRDefault="005E39B6">
          <w:pPr>
            <w:pStyle w:val="TDC1"/>
            <w:tabs>
              <w:tab w:val="left" w:pos="660"/>
              <w:tab w:val="right" w:pos="8828"/>
            </w:tabs>
            <w:rPr>
              <w:rFonts w:eastAsiaTheme="minorEastAsia"/>
              <w:noProof/>
              <w:kern w:val="2"/>
            </w:rPr>
          </w:pPr>
          <w:hyperlink w:anchor="_Toc229834666" w:history="1">
            <w:r w:rsidR="002F2431" w:rsidRPr="00273FB2">
              <w:rPr>
                <w:rStyle w:val="Hipervnculo"/>
                <w:noProof/>
                <w:lang w:val="es-CO"/>
              </w:rPr>
              <w:t>7.2</w:t>
            </w:r>
            <w:r w:rsidR="002F2431">
              <w:rPr>
                <w:rFonts w:eastAsiaTheme="minorEastAsia"/>
                <w:noProof/>
                <w:kern w:val="2"/>
              </w:rPr>
              <w:tab/>
            </w:r>
            <w:r w:rsidR="002F2431" w:rsidRPr="00273FB2">
              <w:rPr>
                <w:rStyle w:val="Hipervnculo"/>
                <w:noProof/>
                <w:lang w:val="es-CO"/>
              </w:rPr>
              <w:t>INTRODUCCIÓN</w:t>
            </w:r>
            <w:r w:rsidR="002F2431">
              <w:rPr>
                <w:noProof/>
                <w:webHidden/>
              </w:rPr>
              <w:tab/>
            </w:r>
            <w:r w:rsidR="002F2431">
              <w:rPr>
                <w:noProof/>
                <w:webHidden/>
              </w:rPr>
              <w:fldChar w:fldCharType="begin"/>
            </w:r>
            <w:r w:rsidR="002F2431">
              <w:rPr>
                <w:noProof/>
                <w:webHidden/>
              </w:rPr>
              <w:instrText xml:space="preserve"> PAGEREF _Toc229834666 \h </w:instrText>
            </w:r>
            <w:r w:rsidR="002F2431">
              <w:rPr>
                <w:noProof/>
                <w:webHidden/>
              </w:rPr>
            </w:r>
            <w:r w:rsidR="002F2431">
              <w:rPr>
                <w:noProof/>
                <w:webHidden/>
              </w:rPr>
              <w:fldChar w:fldCharType="separate"/>
            </w:r>
            <w:r w:rsidR="002F2431">
              <w:rPr>
                <w:noProof/>
                <w:webHidden/>
              </w:rPr>
              <w:t>65</w:t>
            </w:r>
            <w:r w:rsidR="002F2431">
              <w:rPr>
                <w:noProof/>
                <w:webHidden/>
              </w:rPr>
              <w:fldChar w:fldCharType="end"/>
            </w:r>
          </w:hyperlink>
        </w:p>
        <w:p w14:paraId="442F92E9" w14:textId="43FCD7E1" w:rsidR="002F2431" w:rsidRDefault="005E39B6">
          <w:pPr>
            <w:pStyle w:val="TDC1"/>
            <w:tabs>
              <w:tab w:val="left" w:pos="660"/>
              <w:tab w:val="right" w:pos="8828"/>
            </w:tabs>
            <w:rPr>
              <w:rFonts w:eastAsiaTheme="minorEastAsia"/>
              <w:noProof/>
              <w:kern w:val="2"/>
            </w:rPr>
          </w:pPr>
          <w:hyperlink w:anchor="_Toc229834667" w:history="1">
            <w:r w:rsidR="002F2431" w:rsidRPr="00273FB2">
              <w:rPr>
                <w:rStyle w:val="Hipervnculo"/>
                <w:noProof/>
                <w:lang w:val="es-CO"/>
              </w:rPr>
              <w:t>7.3</w:t>
            </w:r>
            <w:r w:rsidR="002F2431">
              <w:rPr>
                <w:rFonts w:eastAsiaTheme="minorEastAsia"/>
                <w:noProof/>
                <w:kern w:val="2"/>
              </w:rPr>
              <w:tab/>
            </w:r>
            <w:r w:rsidR="002F2431" w:rsidRPr="00273FB2">
              <w:rPr>
                <w:rStyle w:val="Hipervnculo"/>
                <w:noProof/>
                <w:lang w:val="es-CO"/>
              </w:rPr>
              <w:t>METODOLOGIA</w:t>
            </w:r>
            <w:r w:rsidR="002F2431">
              <w:rPr>
                <w:noProof/>
                <w:webHidden/>
              </w:rPr>
              <w:tab/>
            </w:r>
            <w:r w:rsidR="002F2431">
              <w:rPr>
                <w:noProof/>
                <w:webHidden/>
              </w:rPr>
              <w:fldChar w:fldCharType="begin"/>
            </w:r>
            <w:r w:rsidR="002F2431">
              <w:rPr>
                <w:noProof/>
                <w:webHidden/>
              </w:rPr>
              <w:instrText xml:space="preserve"> PAGEREF _Toc229834667 \h </w:instrText>
            </w:r>
            <w:r w:rsidR="002F2431">
              <w:rPr>
                <w:noProof/>
                <w:webHidden/>
              </w:rPr>
            </w:r>
            <w:r w:rsidR="002F2431">
              <w:rPr>
                <w:noProof/>
                <w:webHidden/>
              </w:rPr>
              <w:fldChar w:fldCharType="separate"/>
            </w:r>
            <w:r w:rsidR="002F2431">
              <w:rPr>
                <w:noProof/>
                <w:webHidden/>
              </w:rPr>
              <w:t>66</w:t>
            </w:r>
            <w:r w:rsidR="002F2431">
              <w:rPr>
                <w:noProof/>
                <w:webHidden/>
              </w:rPr>
              <w:fldChar w:fldCharType="end"/>
            </w:r>
          </w:hyperlink>
        </w:p>
        <w:p w14:paraId="7023DD9E" w14:textId="4A9963B3" w:rsidR="002F2431" w:rsidRDefault="005E39B6">
          <w:pPr>
            <w:pStyle w:val="TDC2"/>
            <w:rPr>
              <w:rFonts w:eastAsiaTheme="minorEastAsia"/>
              <w:noProof/>
              <w:kern w:val="2"/>
            </w:rPr>
          </w:pPr>
          <w:hyperlink w:anchor="_Toc229834668" w:history="1">
            <w:r w:rsidR="002F2431" w:rsidRPr="00273FB2">
              <w:rPr>
                <w:rStyle w:val="Hipervnculo"/>
                <w:noProof/>
              </w:rPr>
              <w:t>7.3.1</w:t>
            </w:r>
            <w:r w:rsidR="002F2431">
              <w:rPr>
                <w:rFonts w:eastAsiaTheme="minorEastAsia"/>
                <w:noProof/>
                <w:kern w:val="2"/>
              </w:rPr>
              <w:tab/>
            </w:r>
            <w:r w:rsidR="002F2431" w:rsidRPr="00273FB2">
              <w:rPr>
                <w:rStyle w:val="Hipervnculo"/>
                <w:noProof/>
              </w:rPr>
              <w:t>Diseño del estudio</w:t>
            </w:r>
            <w:r w:rsidR="002F2431">
              <w:rPr>
                <w:noProof/>
                <w:webHidden/>
              </w:rPr>
              <w:tab/>
            </w:r>
            <w:r w:rsidR="002F2431">
              <w:rPr>
                <w:noProof/>
                <w:webHidden/>
              </w:rPr>
              <w:fldChar w:fldCharType="begin"/>
            </w:r>
            <w:r w:rsidR="002F2431">
              <w:rPr>
                <w:noProof/>
                <w:webHidden/>
              </w:rPr>
              <w:instrText xml:space="preserve"> PAGEREF _Toc229834668 \h </w:instrText>
            </w:r>
            <w:r w:rsidR="002F2431">
              <w:rPr>
                <w:noProof/>
                <w:webHidden/>
              </w:rPr>
            </w:r>
            <w:r w:rsidR="002F2431">
              <w:rPr>
                <w:noProof/>
                <w:webHidden/>
              </w:rPr>
              <w:fldChar w:fldCharType="separate"/>
            </w:r>
            <w:r w:rsidR="002F2431">
              <w:rPr>
                <w:noProof/>
                <w:webHidden/>
              </w:rPr>
              <w:t>66</w:t>
            </w:r>
            <w:r w:rsidR="002F2431">
              <w:rPr>
                <w:noProof/>
                <w:webHidden/>
              </w:rPr>
              <w:fldChar w:fldCharType="end"/>
            </w:r>
          </w:hyperlink>
        </w:p>
        <w:p w14:paraId="2AF9E299" w14:textId="3CC42457" w:rsidR="002F2431" w:rsidRDefault="005E39B6">
          <w:pPr>
            <w:pStyle w:val="TDC2"/>
            <w:rPr>
              <w:rFonts w:eastAsiaTheme="minorEastAsia"/>
              <w:noProof/>
              <w:kern w:val="2"/>
            </w:rPr>
          </w:pPr>
          <w:hyperlink w:anchor="_Toc229834669" w:history="1">
            <w:r w:rsidR="002F2431" w:rsidRPr="00273FB2">
              <w:rPr>
                <w:rStyle w:val="Hipervnculo"/>
                <w:noProof/>
              </w:rPr>
              <w:t>7.3.2</w:t>
            </w:r>
            <w:r w:rsidR="002F2431">
              <w:rPr>
                <w:rFonts w:eastAsiaTheme="minorEastAsia"/>
                <w:noProof/>
                <w:kern w:val="2"/>
              </w:rPr>
              <w:tab/>
            </w:r>
            <w:r w:rsidR="002F2431" w:rsidRPr="00273FB2">
              <w:rPr>
                <w:rStyle w:val="Hipervnculo"/>
                <w:noProof/>
              </w:rPr>
              <w:t>Medición de la pobreza multidimensional</w:t>
            </w:r>
            <w:r w:rsidR="002F2431">
              <w:rPr>
                <w:noProof/>
                <w:webHidden/>
              </w:rPr>
              <w:tab/>
            </w:r>
            <w:r w:rsidR="002F2431">
              <w:rPr>
                <w:noProof/>
                <w:webHidden/>
              </w:rPr>
              <w:fldChar w:fldCharType="begin"/>
            </w:r>
            <w:r w:rsidR="002F2431">
              <w:rPr>
                <w:noProof/>
                <w:webHidden/>
              </w:rPr>
              <w:instrText xml:space="preserve"> PAGEREF _Toc229834669 \h </w:instrText>
            </w:r>
            <w:r w:rsidR="002F2431">
              <w:rPr>
                <w:noProof/>
                <w:webHidden/>
              </w:rPr>
            </w:r>
            <w:r w:rsidR="002F2431">
              <w:rPr>
                <w:noProof/>
                <w:webHidden/>
              </w:rPr>
              <w:fldChar w:fldCharType="separate"/>
            </w:r>
            <w:r w:rsidR="002F2431">
              <w:rPr>
                <w:noProof/>
                <w:webHidden/>
              </w:rPr>
              <w:t>67</w:t>
            </w:r>
            <w:r w:rsidR="002F2431">
              <w:rPr>
                <w:noProof/>
                <w:webHidden/>
              </w:rPr>
              <w:fldChar w:fldCharType="end"/>
            </w:r>
          </w:hyperlink>
        </w:p>
        <w:p w14:paraId="4F76C626" w14:textId="6350F28E" w:rsidR="002F2431" w:rsidRDefault="005E39B6">
          <w:pPr>
            <w:pStyle w:val="TDC2"/>
            <w:rPr>
              <w:rFonts w:eastAsiaTheme="minorEastAsia"/>
              <w:noProof/>
              <w:kern w:val="2"/>
            </w:rPr>
          </w:pPr>
          <w:hyperlink w:anchor="_Toc229834670" w:history="1">
            <w:r w:rsidR="002F2431" w:rsidRPr="00273FB2">
              <w:rPr>
                <w:rStyle w:val="Hipervnculo"/>
                <w:noProof/>
              </w:rPr>
              <w:t>7.3.3</w:t>
            </w:r>
            <w:r w:rsidR="002F2431">
              <w:rPr>
                <w:rFonts w:eastAsiaTheme="minorEastAsia"/>
                <w:noProof/>
                <w:kern w:val="2"/>
              </w:rPr>
              <w:tab/>
            </w:r>
            <w:r w:rsidR="002F2431" w:rsidRPr="00273FB2">
              <w:rPr>
                <w:rStyle w:val="Hipervnculo"/>
                <w:noProof/>
              </w:rPr>
              <w:t>Etnias en Colombia</w:t>
            </w:r>
            <w:r w:rsidR="002F2431">
              <w:rPr>
                <w:noProof/>
                <w:webHidden/>
              </w:rPr>
              <w:tab/>
            </w:r>
            <w:r w:rsidR="002F2431">
              <w:rPr>
                <w:noProof/>
                <w:webHidden/>
              </w:rPr>
              <w:fldChar w:fldCharType="begin"/>
            </w:r>
            <w:r w:rsidR="002F2431">
              <w:rPr>
                <w:noProof/>
                <w:webHidden/>
              </w:rPr>
              <w:instrText xml:space="preserve"> PAGEREF _Toc229834670 \h </w:instrText>
            </w:r>
            <w:r w:rsidR="002F2431">
              <w:rPr>
                <w:noProof/>
                <w:webHidden/>
              </w:rPr>
            </w:r>
            <w:r w:rsidR="002F2431">
              <w:rPr>
                <w:noProof/>
                <w:webHidden/>
              </w:rPr>
              <w:fldChar w:fldCharType="separate"/>
            </w:r>
            <w:r w:rsidR="002F2431">
              <w:rPr>
                <w:noProof/>
                <w:webHidden/>
              </w:rPr>
              <w:t>68</w:t>
            </w:r>
            <w:r w:rsidR="002F2431">
              <w:rPr>
                <w:noProof/>
                <w:webHidden/>
              </w:rPr>
              <w:fldChar w:fldCharType="end"/>
            </w:r>
          </w:hyperlink>
        </w:p>
        <w:p w14:paraId="1A9C6CFC" w14:textId="00CAA149" w:rsidR="002F2431" w:rsidRDefault="005E39B6">
          <w:pPr>
            <w:pStyle w:val="TDC2"/>
            <w:rPr>
              <w:rFonts w:eastAsiaTheme="minorEastAsia"/>
              <w:noProof/>
              <w:kern w:val="2"/>
            </w:rPr>
          </w:pPr>
          <w:hyperlink w:anchor="_Toc229834671" w:history="1">
            <w:r w:rsidR="002F2431" w:rsidRPr="00273FB2">
              <w:rPr>
                <w:rStyle w:val="Hipervnculo"/>
                <w:noProof/>
              </w:rPr>
              <w:t>7.3.4</w:t>
            </w:r>
            <w:r w:rsidR="002F2431">
              <w:rPr>
                <w:rFonts w:eastAsiaTheme="minorEastAsia"/>
                <w:noProof/>
                <w:kern w:val="2"/>
              </w:rPr>
              <w:tab/>
            </w:r>
            <w:r w:rsidR="002F2431" w:rsidRPr="00273FB2">
              <w:rPr>
                <w:rStyle w:val="Hipervnculo"/>
                <w:noProof/>
              </w:rPr>
              <w:t>Zonas más afectadas por el conflicto armado y municipios con programas de desarrollo con enfoque territorial</w:t>
            </w:r>
            <w:r w:rsidR="002F2431">
              <w:rPr>
                <w:noProof/>
                <w:webHidden/>
              </w:rPr>
              <w:tab/>
            </w:r>
            <w:r w:rsidR="002F2431">
              <w:rPr>
                <w:noProof/>
                <w:webHidden/>
              </w:rPr>
              <w:fldChar w:fldCharType="begin"/>
            </w:r>
            <w:r w:rsidR="002F2431">
              <w:rPr>
                <w:noProof/>
                <w:webHidden/>
              </w:rPr>
              <w:instrText xml:space="preserve"> PAGEREF _Toc229834671 \h </w:instrText>
            </w:r>
            <w:r w:rsidR="002F2431">
              <w:rPr>
                <w:noProof/>
                <w:webHidden/>
              </w:rPr>
            </w:r>
            <w:r w:rsidR="002F2431">
              <w:rPr>
                <w:noProof/>
                <w:webHidden/>
              </w:rPr>
              <w:fldChar w:fldCharType="separate"/>
            </w:r>
            <w:r w:rsidR="002F2431">
              <w:rPr>
                <w:noProof/>
                <w:webHidden/>
              </w:rPr>
              <w:t>68</w:t>
            </w:r>
            <w:r w:rsidR="002F2431">
              <w:rPr>
                <w:noProof/>
                <w:webHidden/>
              </w:rPr>
              <w:fldChar w:fldCharType="end"/>
            </w:r>
          </w:hyperlink>
        </w:p>
        <w:p w14:paraId="7E0DB677" w14:textId="4AEF7CB8" w:rsidR="002F2431" w:rsidRDefault="005E39B6">
          <w:pPr>
            <w:pStyle w:val="TDC1"/>
            <w:tabs>
              <w:tab w:val="left" w:pos="660"/>
              <w:tab w:val="right" w:pos="8828"/>
            </w:tabs>
            <w:rPr>
              <w:rFonts w:eastAsiaTheme="minorEastAsia"/>
              <w:noProof/>
              <w:kern w:val="2"/>
            </w:rPr>
          </w:pPr>
          <w:hyperlink w:anchor="_Toc229834672" w:history="1">
            <w:r w:rsidR="002F2431" w:rsidRPr="00273FB2">
              <w:rPr>
                <w:rStyle w:val="Hipervnculo"/>
                <w:noProof/>
                <w:lang w:val="es-CO"/>
              </w:rPr>
              <w:t>7.4</w:t>
            </w:r>
            <w:r w:rsidR="002F2431">
              <w:rPr>
                <w:rFonts w:eastAsiaTheme="minorEastAsia"/>
                <w:noProof/>
                <w:kern w:val="2"/>
              </w:rPr>
              <w:tab/>
            </w:r>
            <w:r w:rsidR="002F2431" w:rsidRPr="00273FB2">
              <w:rPr>
                <w:rStyle w:val="Hipervnculo"/>
                <w:noProof/>
                <w:lang w:val="es-CO"/>
              </w:rPr>
              <w:t>ANÁLISIS DE DATOS</w:t>
            </w:r>
            <w:r w:rsidR="002F2431">
              <w:rPr>
                <w:noProof/>
                <w:webHidden/>
              </w:rPr>
              <w:tab/>
            </w:r>
            <w:r w:rsidR="002F2431">
              <w:rPr>
                <w:noProof/>
                <w:webHidden/>
              </w:rPr>
              <w:fldChar w:fldCharType="begin"/>
            </w:r>
            <w:r w:rsidR="002F2431">
              <w:rPr>
                <w:noProof/>
                <w:webHidden/>
              </w:rPr>
              <w:instrText xml:space="preserve"> PAGEREF _Toc229834672 \h </w:instrText>
            </w:r>
            <w:r w:rsidR="002F2431">
              <w:rPr>
                <w:noProof/>
                <w:webHidden/>
              </w:rPr>
            </w:r>
            <w:r w:rsidR="002F2431">
              <w:rPr>
                <w:noProof/>
                <w:webHidden/>
              </w:rPr>
              <w:fldChar w:fldCharType="separate"/>
            </w:r>
            <w:r w:rsidR="002F2431">
              <w:rPr>
                <w:noProof/>
                <w:webHidden/>
              </w:rPr>
              <w:t>69</w:t>
            </w:r>
            <w:r w:rsidR="002F2431">
              <w:rPr>
                <w:noProof/>
                <w:webHidden/>
              </w:rPr>
              <w:fldChar w:fldCharType="end"/>
            </w:r>
          </w:hyperlink>
        </w:p>
        <w:p w14:paraId="6F1DF8E6" w14:textId="6B66AEAA" w:rsidR="002F2431" w:rsidRDefault="005E39B6">
          <w:pPr>
            <w:pStyle w:val="TDC1"/>
            <w:tabs>
              <w:tab w:val="left" w:pos="660"/>
              <w:tab w:val="right" w:pos="8828"/>
            </w:tabs>
            <w:rPr>
              <w:rFonts w:eastAsiaTheme="minorEastAsia"/>
              <w:noProof/>
              <w:kern w:val="2"/>
            </w:rPr>
          </w:pPr>
          <w:hyperlink w:anchor="_Toc229834673" w:history="1">
            <w:r w:rsidR="002F2431" w:rsidRPr="00273FB2">
              <w:rPr>
                <w:rStyle w:val="Hipervnculo"/>
                <w:noProof/>
                <w:lang w:val="es-CO"/>
              </w:rPr>
              <w:t xml:space="preserve">7.5 </w:t>
            </w:r>
            <w:r w:rsidR="002F2431">
              <w:rPr>
                <w:rFonts w:eastAsiaTheme="minorEastAsia"/>
                <w:noProof/>
                <w:kern w:val="2"/>
              </w:rPr>
              <w:tab/>
            </w:r>
            <w:r w:rsidR="002F2431" w:rsidRPr="00273FB2">
              <w:rPr>
                <w:rStyle w:val="Hipervnculo"/>
                <w:noProof/>
                <w:lang w:val="es-CO"/>
              </w:rPr>
              <w:t>CONSIDERACIONES ÉTICAS</w:t>
            </w:r>
            <w:r w:rsidR="002F2431">
              <w:rPr>
                <w:noProof/>
                <w:webHidden/>
              </w:rPr>
              <w:tab/>
            </w:r>
            <w:r w:rsidR="002F2431">
              <w:rPr>
                <w:noProof/>
                <w:webHidden/>
              </w:rPr>
              <w:fldChar w:fldCharType="begin"/>
            </w:r>
            <w:r w:rsidR="002F2431">
              <w:rPr>
                <w:noProof/>
                <w:webHidden/>
              </w:rPr>
              <w:instrText xml:space="preserve"> PAGEREF _Toc229834673 \h </w:instrText>
            </w:r>
            <w:r w:rsidR="002F2431">
              <w:rPr>
                <w:noProof/>
                <w:webHidden/>
              </w:rPr>
            </w:r>
            <w:r w:rsidR="002F2431">
              <w:rPr>
                <w:noProof/>
                <w:webHidden/>
              </w:rPr>
              <w:fldChar w:fldCharType="separate"/>
            </w:r>
            <w:r w:rsidR="002F2431">
              <w:rPr>
                <w:noProof/>
                <w:webHidden/>
              </w:rPr>
              <w:t>70</w:t>
            </w:r>
            <w:r w:rsidR="002F2431">
              <w:rPr>
                <w:noProof/>
                <w:webHidden/>
              </w:rPr>
              <w:fldChar w:fldCharType="end"/>
            </w:r>
          </w:hyperlink>
        </w:p>
        <w:p w14:paraId="6BE2918E" w14:textId="0D4EF8CA" w:rsidR="002F2431" w:rsidRDefault="005E39B6">
          <w:pPr>
            <w:pStyle w:val="TDC1"/>
            <w:tabs>
              <w:tab w:val="left" w:pos="660"/>
              <w:tab w:val="right" w:pos="8828"/>
            </w:tabs>
            <w:rPr>
              <w:rFonts w:eastAsiaTheme="minorEastAsia"/>
              <w:noProof/>
              <w:kern w:val="2"/>
            </w:rPr>
          </w:pPr>
          <w:hyperlink w:anchor="_Toc229834674" w:history="1">
            <w:r w:rsidR="002F2431" w:rsidRPr="00273FB2">
              <w:rPr>
                <w:rStyle w:val="Hipervnculo"/>
                <w:noProof/>
                <w:lang w:val="es-CO"/>
              </w:rPr>
              <w:t>7.6</w:t>
            </w:r>
            <w:r w:rsidR="002F2431">
              <w:rPr>
                <w:rFonts w:eastAsiaTheme="minorEastAsia"/>
                <w:noProof/>
                <w:kern w:val="2"/>
              </w:rPr>
              <w:tab/>
            </w:r>
            <w:r w:rsidR="002F2431" w:rsidRPr="00273FB2">
              <w:rPr>
                <w:rStyle w:val="Hipervnculo"/>
                <w:noProof/>
                <w:lang w:val="es-CO"/>
              </w:rPr>
              <w:t xml:space="preserve"> RESULTADOS</w:t>
            </w:r>
            <w:r w:rsidR="002F2431">
              <w:rPr>
                <w:noProof/>
                <w:webHidden/>
              </w:rPr>
              <w:tab/>
            </w:r>
            <w:r w:rsidR="002F2431">
              <w:rPr>
                <w:noProof/>
                <w:webHidden/>
              </w:rPr>
              <w:fldChar w:fldCharType="begin"/>
            </w:r>
            <w:r w:rsidR="002F2431">
              <w:rPr>
                <w:noProof/>
                <w:webHidden/>
              </w:rPr>
              <w:instrText xml:space="preserve"> PAGEREF _Toc229834674 \h </w:instrText>
            </w:r>
            <w:r w:rsidR="002F2431">
              <w:rPr>
                <w:noProof/>
                <w:webHidden/>
              </w:rPr>
            </w:r>
            <w:r w:rsidR="002F2431">
              <w:rPr>
                <w:noProof/>
                <w:webHidden/>
              </w:rPr>
              <w:fldChar w:fldCharType="separate"/>
            </w:r>
            <w:r w:rsidR="002F2431">
              <w:rPr>
                <w:noProof/>
                <w:webHidden/>
              </w:rPr>
              <w:t>70</w:t>
            </w:r>
            <w:r w:rsidR="002F2431">
              <w:rPr>
                <w:noProof/>
                <w:webHidden/>
              </w:rPr>
              <w:fldChar w:fldCharType="end"/>
            </w:r>
          </w:hyperlink>
        </w:p>
        <w:p w14:paraId="6DF6D41E" w14:textId="47F2561E" w:rsidR="002F2431" w:rsidRDefault="005E39B6">
          <w:pPr>
            <w:pStyle w:val="TDC1"/>
            <w:tabs>
              <w:tab w:val="left" w:pos="660"/>
              <w:tab w:val="right" w:pos="8828"/>
            </w:tabs>
            <w:rPr>
              <w:rFonts w:eastAsiaTheme="minorEastAsia"/>
              <w:noProof/>
              <w:kern w:val="2"/>
            </w:rPr>
          </w:pPr>
          <w:hyperlink w:anchor="_Toc229834675" w:history="1">
            <w:r w:rsidR="002F2431" w:rsidRPr="00273FB2">
              <w:rPr>
                <w:rStyle w:val="Hipervnculo"/>
                <w:noProof/>
              </w:rPr>
              <w:t>7.7</w:t>
            </w:r>
            <w:r w:rsidR="002F2431">
              <w:rPr>
                <w:rFonts w:eastAsiaTheme="minorEastAsia"/>
                <w:noProof/>
                <w:kern w:val="2"/>
              </w:rPr>
              <w:tab/>
            </w:r>
            <w:r w:rsidR="002F2431" w:rsidRPr="00273FB2">
              <w:rPr>
                <w:rStyle w:val="Hipervnculo"/>
                <w:noProof/>
              </w:rPr>
              <w:t>DISCUSIÓN</w:t>
            </w:r>
            <w:r w:rsidR="002F2431">
              <w:rPr>
                <w:noProof/>
                <w:webHidden/>
              </w:rPr>
              <w:tab/>
            </w:r>
            <w:r w:rsidR="002F2431">
              <w:rPr>
                <w:noProof/>
                <w:webHidden/>
              </w:rPr>
              <w:fldChar w:fldCharType="begin"/>
            </w:r>
            <w:r w:rsidR="002F2431">
              <w:rPr>
                <w:noProof/>
                <w:webHidden/>
              </w:rPr>
              <w:instrText xml:space="preserve"> PAGEREF _Toc229834675 \h </w:instrText>
            </w:r>
            <w:r w:rsidR="002F2431">
              <w:rPr>
                <w:noProof/>
                <w:webHidden/>
              </w:rPr>
            </w:r>
            <w:r w:rsidR="002F2431">
              <w:rPr>
                <w:noProof/>
                <w:webHidden/>
              </w:rPr>
              <w:fldChar w:fldCharType="separate"/>
            </w:r>
            <w:r w:rsidR="002F2431">
              <w:rPr>
                <w:noProof/>
                <w:webHidden/>
              </w:rPr>
              <w:t>75</w:t>
            </w:r>
            <w:r w:rsidR="002F2431">
              <w:rPr>
                <w:noProof/>
                <w:webHidden/>
              </w:rPr>
              <w:fldChar w:fldCharType="end"/>
            </w:r>
          </w:hyperlink>
        </w:p>
        <w:p w14:paraId="31347384" w14:textId="55AF65BB" w:rsidR="002F2431" w:rsidRDefault="005E39B6">
          <w:pPr>
            <w:pStyle w:val="TDC1"/>
            <w:tabs>
              <w:tab w:val="left" w:pos="660"/>
              <w:tab w:val="right" w:pos="8828"/>
            </w:tabs>
            <w:rPr>
              <w:rFonts w:eastAsiaTheme="minorEastAsia"/>
              <w:noProof/>
              <w:kern w:val="2"/>
            </w:rPr>
          </w:pPr>
          <w:hyperlink w:anchor="_Toc229834676" w:history="1">
            <w:r w:rsidR="002F2431" w:rsidRPr="00273FB2">
              <w:rPr>
                <w:rStyle w:val="Hipervnculo"/>
                <w:rFonts w:cstheme="minorHAnsi"/>
                <w:bCs/>
                <w:noProof/>
                <w:lang w:val="es-CO"/>
              </w:rPr>
              <w:t>8.</w:t>
            </w:r>
            <w:r w:rsidR="002F2431">
              <w:rPr>
                <w:rFonts w:eastAsiaTheme="minorEastAsia"/>
                <w:noProof/>
                <w:kern w:val="2"/>
              </w:rPr>
              <w:tab/>
            </w:r>
            <w:r w:rsidR="002F2431" w:rsidRPr="00273FB2">
              <w:rPr>
                <w:rStyle w:val="Hipervnculo"/>
                <w:noProof/>
                <w:lang w:val="es-CO"/>
              </w:rPr>
              <w:t>CENTENARIOS EN COLOMBIA: UN ESTUDIO DE COHORTE POBLACIONAL SOBRE EL IMPACTO DEL COVID-19</w:t>
            </w:r>
            <w:r w:rsidR="002F2431">
              <w:rPr>
                <w:noProof/>
                <w:webHidden/>
              </w:rPr>
              <w:tab/>
            </w:r>
            <w:r w:rsidR="002F2431">
              <w:rPr>
                <w:noProof/>
                <w:webHidden/>
              </w:rPr>
              <w:fldChar w:fldCharType="begin"/>
            </w:r>
            <w:r w:rsidR="002F2431">
              <w:rPr>
                <w:noProof/>
                <w:webHidden/>
              </w:rPr>
              <w:instrText xml:space="preserve"> PAGEREF _Toc229834676 \h </w:instrText>
            </w:r>
            <w:r w:rsidR="002F2431">
              <w:rPr>
                <w:noProof/>
                <w:webHidden/>
              </w:rPr>
            </w:r>
            <w:r w:rsidR="002F2431">
              <w:rPr>
                <w:noProof/>
                <w:webHidden/>
              </w:rPr>
              <w:fldChar w:fldCharType="separate"/>
            </w:r>
            <w:r w:rsidR="002F2431">
              <w:rPr>
                <w:noProof/>
                <w:webHidden/>
              </w:rPr>
              <w:t>81</w:t>
            </w:r>
            <w:r w:rsidR="002F2431">
              <w:rPr>
                <w:noProof/>
                <w:webHidden/>
              </w:rPr>
              <w:fldChar w:fldCharType="end"/>
            </w:r>
          </w:hyperlink>
        </w:p>
        <w:p w14:paraId="44406918" w14:textId="61D8848E" w:rsidR="002F2431" w:rsidRDefault="005E39B6">
          <w:pPr>
            <w:pStyle w:val="TDC1"/>
            <w:tabs>
              <w:tab w:val="right" w:pos="8828"/>
            </w:tabs>
            <w:rPr>
              <w:rFonts w:eastAsiaTheme="minorEastAsia"/>
              <w:noProof/>
              <w:kern w:val="2"/>
            </w:rPr>
          </w:pPr>
          <w:hyperlink w:anchor="_Toc229834677" w:history="1">
            <w:r w:rsidR="002F2431" w:rsidRPr="00273FB2">
              <w:rPr>
                <w:rStyle w:val="Hipervnculo"/>
                <w:noProof/>
                <w:lang w:val="es-CO"/>
              </w:rPr>
              <w:t>8.1 RESUMEN</w:t>
            </w:r>
            <w:r w:rsidR="002F2431">
              <w:rPr>
                <w:noProof/>
                <w:webHidden/>
              </w:rPr>
              <w:tab/>
            </w:r>
            <w:r w:rsidR="002F2431">
              <w:rPr>
                <w:noProof/>
                <w:webHidden/>
              </w:rPr>
              <w:fldChar w:fldCharType="begin"/>
            </w:r>
            <w:r w:rsidR="002F2431">
              <w:rPr>
                <w:noProof/>
                <w:webHidden/>
              </w:rPr>
              <w:instrText xml:space="preserve"> PAGEREF _Toc229834677 \h </w:instrText>
            </w:r>
            <w:r w:rsidR="002F2431">
              <w:rPr>
                <w:noProof/>
                <w:webHidden/>
              </w:rPr>
            </w:r>
            <w:r w:rsidR="002F2431">
              <w:rPr>
                <w:noProof/>
                <w:webHidden/>
              </w:rPr>
              <w:fldChar w:fldCharType="separate"/>
            </w:r>
            <w:r w:rsidR="002F2431">
              <w:rPr>
                <w:noProof/>
                <w:webHidden/>
              </w:rPr>
              <w:t>81</w:t>
            </w:r>
            <w:r w:rsidR="002F2431">
              <w:rPr>
                <w:noProof/>
                <w:webHidden/>
              </w:rPr>
              <w:fldChar w:fldCharType="end"/>
            </w:r>
          </w:hyperlink>
        </w:p>
        <w:p w14:paraId="760C84E6" w14:textId="60A25285" w:rsidR="002F2431" w:rsidRDefault="005E39B6">
          <w:pPr>
            <w:pStyle w:val="TDC1"/>
            <w:tabs>
              <w:tab w:val="left" w:pos="660"/>
              <w:tab w:val="right" w:pos="8828"/>
            </w:tabs>
            <w:rPr>
              <w:rFonts w:eastAsiaTheme="minorEastAsia"/>
              <w:noProof/>
              <w:kern w:val="2"/>
            </w:rPr>
          </w:pPr>
          <w:hyperlink w:anchor="_Toc229834678" w:history="1">
            <w:r w:rsidR="002F2431" w:rsidRPr="00273FB2">
              <w:rPr>
                <w:rStyle w:val="Hipervnculo"/>
                <w:noProof/>
                <w:lang w:val="es-CO"/>
              </w:rPr>
              <w:t>8.2</w:t>
            </w:r>
            <w:r w:rsidR="002F2431">
              <w:rPr>
                <w:rFonts w:eastAsiaTheme="minorEastAsia"/>
                <w:noProof/>
                <w:kern w:val="2"/>
              </w:rPr>
              <w:tab/>
            </w:r>
            <w:r w:rsidR="002F2431" w:rsidRPr="00273FB2">
              <w:rPr>
                <w:rStyle w:val="Hipervnculo"/>
                <w:noProof/>
                <w:lang w:val="es-CO"/>
              </w:rPr>
              <w:t>INTRODUCCION</w:t>
            </w:r>
            <w:r w:rsidR="002F2431">
              <w:rPr>
                <w:noProof/>
                <w:webHidden/>
              </w:rPr>
              <w:tab/>
            </w:r>
            <w:r w:rsidR="002F2431">
              <w:rPr>
                <w:noProof/>
                <w:webHidden/>
              </w:rPr>
              <w:fldChar w:fldCharType="begin"/>
            </w:r>
            <w:r w:rsidR="002F2431">
              <w:rPr>
                <w:noProof/>
                <w:webHidden/>
              </w:rPr>
              <w:instrText xml:space="preserve"> PAGEREF _Toc229834678 \h </w:instrText>
            </w:r>
            <w:r w:rsidR="002F2431">
              <w:rPr>
                <w:noProof/>
                <w:webHidden/>
              </w:rPr>
            </w:r>
            <w:r w:rsidR="002F2431">
              <w:rPr>
                <w:noProof/>
                <w:webHidden/>
              </w:rPr>
              <w:fldChar w:fldCharType="separate"/>
            </w:r>
            <w:r w:rsidR="002F2431">
              <w:rPr>
                <w:noProof/>
                <w:webHidden/>
              </w:rPr>
              <w:t>82</w:t>
            </w:r>
            <w:r w:rsidR="002F2431">
              <w:rPr>
                <w:noProof/>
                <w:webHidden/>
              </w:rPr>
              <w:fldChar w:fldCharType="end"/>
            </w:r>
          </w:hyperlink>
        </w:p>
        <w:p w14:paraId="59535AD2" w14:textId="54B9FB79" w:rsidR="002F2431" w:rsidRDefault="005E39B6">
          <w:pPr>
            <w:pStyle w:val="TDC1"/>
            <w:tabs>
              <w:tab w:val="left" w:pos="660"/>
              <w:tab w:val="right" w:pos="8828"/>
            </w:tabs>
            <w:rPr>
              <w:rFonts w:eastAsiaTheme="minorEastAsia"/>
              <w:noProof/>
              <w:kern w:val="2"/>
            </w:rPr>
          </w:pPr>
          <w:hyperlink w:anchor="_Toc229834679" w:history="1">
            <w:r w:rsidR="002F2431" w:rsidRPr="00273FB2">
              <w:rPr>
                <w:rStyle w:val="Hipervnculo"/>
                <w:noProof/>
                <w:lang w:val="es-CO"/>
              </w:rPr>
              <w:t>8.3</w:t>
            </w:r>
            <w:r w:rsidR="002F2431">
              <w:rPr>
                <w:rFonts w:eastAsiaTheme="minorEastAsia"/>
                <w:noProof/>
                <w:kern w:val="2"/>
              </w:rPr>
              <w:tab/>
            </w:r>
            <w:r w:rsidR="002F2431" w:rsidRPr="00273FB2">
              <w:rPr>
                <w:rStyle w:val="Hipervnculo"/>
                <w:noProof/>
                <w:lang w:val="es-CO"/>
              </w:rPr>
              <w:t>METODOLOGIA</w:t>
            </w:r>
            <w:r w:rsidR="002F2431">
              <w:rPr>
                <w:noProof/>
                <w:webHidden/>
              </w:rPr>
              <w:tab/>
            </w:r>
            <w:r w:rsidR="002F2431">
              <w:rPr>
                <w:noProof/>
                <w:webHidden/>
              </w:rPr>
              <w:fldChar w:fldCharType="begin"/>
            </w:r>
            <w:r w:rsidR="002F2431">
              <w:rPr>
                <w:noProof/>
                <w:webHidden/>
              </w:rPr>
              <w:instrText xml:space="preserve"> PAGEREF _Toc229834679 \h </w:instrText>
            </w:r>
            <w:r w:rsidR="002F2431">
              <w:rPr>
                <w:noProof/>
                <w:webHidden/>
              </w:rPr>
            </w:r>
            <w:r w:rsidR="002F2431">
              <w:rPr>
                <w:noProof/>
                <w:webHidden/>
              </w:rPr>
              <w:fldChar w:fldCharType="separate"/>
            </w:r>
            <w:r w:rsidR="002F2431">
              <w:rPr>
                <w:noProof/>
                <w:webHidden/>
              </w:rPr>
              <w:t>83</w:t>
            </w:r>
            <w:r w:rsidR="002F2431">
              <w:rPr>
                <w:noProof/>
                <w:webHidden/>
              </w:rPr>
              <w:fldChar w:fldCharType="end"/>
            </w:r>
          </w:hyperlink>
        </w:p>
        <w:p w14:paraId="6DD02073" w14:textId="52119805" w:rsidR="002F2431" w:rsidRDefault="005E39B6">
          <w:pPr>
            <w:pStyle w:val="TDC1"/>
            <w:tabs>
              <w:tab w:val="left" w:pos="660"/>
              <w:tab w:val="right" w:pos="8828"/>
            </w:tabs>
            <w:rPr>
              <w:rFonts w:eastAsiaTheme="minorEastAsia"/>
              <w:noProof/>
              <w:kern w:val="2"/>
            </w:rPr>
          </w:pPr>
          <w:hyperlink w:anchor="_Toc229834680" w:history="1">
            <w:r w:rsidR="002F2431" w:rsidRPr="00273FB2">
              <w:rPr>
                <w:rStyle w:val="Hipervnculo"/>
                <w:noProof/>
                <w:lang w:val="es-CO"/>
              </w:rPr>
              <w:t>8.4</w:t>
            </w:r>
            <w:r w:rsidR="002F2431">
              <w:rPr>
                <w:rFonts w:eastAsiaTheme="minorEastAsia"/>
                <w:noProof/>
                <w:kern w:val="2"/>
              </w:rPr>
              <w:tab/>
            </w:r>
            <w:r w:rsidR="002F2431" w:rsidRPr="00273FB2">
              <w:rPr>
                <w:rStyle w:val="Hipervnculo"/>
                <w:noProof/>
                <w:lang w:val="es-CO"/>
              </w:rPr>
              <w:t>ANÁLISIS ESTADISTICO</w:t>
            </w:r>
            <w:r w:rsidR="002F2431">
              <w:rPr>
                <w:noProof/>
                <w:webHidden/>
              </w:rPr>
              <w:tab/>
            </w:r>
            <w:r w:rsidR="002F2431">
              <w:rPr>
                <w:noProof/>
                <w:webHidden/>
              </w:rPr>
              <w:fldChar w:fldCharType="begin"/>
            </w:r>
            <w:r w:rsidR="002F2431">
              <w:rPr>
                <w:noProof/>
                <w:webHidden/>
              </w:rPr>
              <w:instrText xml:space="preserve"> PAGEREF _Toc229834680 \h </w:instrText>
            </w:r>
            <w:r w:rsidR="002F2431">
              <w:rPr>
                <w:noProof/>
                <w:webHidden/>
              </w:rPr>
            </w:r>
            <w:r w:rsidR="002F2431">
              <w:rPr>
                <w:noProof/>
                <w:webHidden/>
              </w:rPr>
              <w:fldChar w:fldCharType="separate"/>
            </w:r>
            <w:r w:rsidR="002F2431">
              <w:rPr>
                <w:noProof/>
                <w:webHidden/>
              </w:rPr>
              <w:t>83</w:t>
            </w:r>
            <w:r w:rsidR="002F2431">
              <w:rPr>
                <w:noProof/>
                <w:webHidden/>
              </w:rPr>
              <w:fldChar w:fldCharType="end"/>
            </w:r>
          </w:hyperlink>
        </w:p>
        <w:p w14:paraId="6479C6C6" w14:textId="0C1B2503" w:rsidR="002F2431" w:rsidRDefault="005E39B6">
          <w:pPr>
            <w:pStyle w:val="TDC1"/>
            <w:tabs>
              <w:tab w:val="left" w:pos="660"/>
              <w:tab w:val="right" w:pos="8828"/>
            </w:tabs>
            <w:rPr>
              <w:rFonts w:eastAsiaTheme="minorEastAsia"/>
              <w:noProof/>
              <w:kern w:val="2"/>
            </w:rPr>
          </w:pPr>
          <w:hyperlink w:anchor="_Toc229834681" w:history="1">
            <w:r w:rsidR="002F2431" w:rsidRPr="00273FB2">
              <w:rPr>
                <w:rStyle w:val="Hipervnculo"/>
                <w:noProof/>
                <w:lang w:val="es-CO"/>
              </w:rPr>
              <w:t>8.5</w:t>
            </w:r>
            <w:r w:rsidR="002F2431">
              <w:rPr>
                <w:rFonts w:eastAsiaTheme="minorEastAsia"/>
                <w:noProof/>
                <w:kern w:val="2"/>
              </w:rPr>
              <w:tab/>
            </w:r>
            <w:r w:rsidR="002F2431" w:rsidRPr="00273FB2">
              <w:rPr>
                <w:rStyle w:val="Hipervnculo"/>
                <w:noProof/>
                <w:lang w:val="es-CO"/>
              </w:rPr>
              <w:t>RESULTADOS</w:t>
            </w:r>
            <w:r w:rsidR="002F2431">
              <w:rPr>
                <w:noProof/>
                <w:webHidden/>
              </w:rPr>
              <w:tab/>
            </w:r>
            <w:r w:rsidR="002F2431">
              <w:rPr>
                <w:noProof/>
                <w:webHidden/>
              </w:rPr>
              <w:fldChar w:fldCharType="begin"/>
            </w:r>
            <w:r w:rsidR="002F2431">
              <w:rPr>
                <w:noProof/>
                <w:webHidden/>
              </w:rPr>
              <w:instrText xml:space="preserve"> PAGEREF _Toc229834681 \h </w:instrText>
            </w:r>
            <w:r w:rsidR="002F2431">
              <w:rPr>
                <w:noProof/>
                <w:webHidden/>
              </w:rPr>
            </w:r>
            <w:r w:rsidR="002F2431">
              <w:rPr>
                <w:noProof/>
                <w:webHidden/>
              </w:rPr>
              <w:fldChar w:fldCharType="separate"/>
            </w:r>
            <w:r w:rsidR="002F2431">
              <w:rPr>
                <w:noProof/>
                <w:webHidden/>
              </w:rPr>
              <w:t>84</w:t>
            </w:r>
            <w:r w:rsidR="002F2431">
              <w:rPr>
                <w:noProof/>
                <w:webHidden/>
              </w:rPr>
              <w:fldChar w:fldCharType="end"/>
            </w:r>
          </w:hyperlink>
        </w:p>
        <w:p w14:paraId="2ECB8275" w14:textId="0CDCCDDC" w:rsidR="002F2431" w:rsidRDefault="005E39B6">
          <w:pPr>
            <w:pStyle w:val="TDC1"/>
            <w:tabs>
              <w:tab w:val="left" w:pos="660"/>
              <w:tab w:val="right" w:pos="8828"/>
            </w:tabs>
            <w:rPr>
              <w:rFonts w:eastAsiaTheme="minorEastAsia"/>
              <w:noProof/>
              <w:kern w:val="2"/>
            </w:rPr>
          </w:pPr>
          <w:hyperlink w:anchor="_Toc229834682" w:history="1">
            <w:r w:rsidR="002F2431" w:rsidRPr="00273FB2">
              <w:rPr>
                <w:rStyle w:val="Hipervnculo"/>
                <w:rFonts w:eastAsia="Times New Roman"/>
                <w:noProof/>
                <w:lang w:val="es-CO" w:eastAsia="es-CO"/>
              </w:rPr>
              <w:t>8.6</w:t>
            </w:r>
            <w:r w:rsidR="002F2431">
              <w:rPr>
                <w:rFonts w:eastAsiaTheme="minorEastAsia"/>
                <w:noProof/>
                <w:kern w:val="2"/>
              </w:rPr>
              <w:tab/>
            </w:r>
            <w:r w:rsidR="002F2431" w:rsidRPr="00273FB2">
              <w:rPr>
                <w:rStyle w:val="Hipervnculo"/>
                <w:rFonts w:eastAsia="Times New Roman"/>
                <w:noProof/>
                <w:lang w:val="es-CO" w:eastAsia="es-CO"/>
              </w:rPr>
              <w:t>DISCUSIÓN</w:t>
            </w:r>
            <w:r w:rsidR="002F2431">
              <w:rPr>
                <w:noProof/>
                <w:webHidden/>
              </w:rPr>
              <w:tab/>
            </w:r>
            <w:r w:rsidR="002F2431">
              <w:rPr>
                <w:noProof/>
                <w:webHidden/>
              </w:rPr>
              <w:fldChar w:fldCharType="begin"/>
            </w:r>
            <w:r w:rsidR="002F2431">
              <w:rPr>
                <w:noProof/>
                <w:webHidden/>
              </w:rPr>
              <w:instrText xml:space="preserve"> PAGEREF _Toc229834682 \h </w:instrText>
            </w:r>
            <w:r w:rsidR="002F2431">
              <w:rPr>
                <w:noProof/>
                <w:webHidden/>
              </w:rPr>
            </w:r>
            <w:r w:rsidR="002F2431">
              <w:rPr>
                <w:noProof/>
                <w:webHidden/>
              </w:rPr>
              <w:fldChar w:fldCharType="separate"/>
            </w:r>
            <w:r w:rsidR="002F2431">
              <w:rPr>
                <w:noProof/>
                <w:webHidden/>
              </w:rPr>
              <w:t>92</w:t>
            </w:r>
            <w:r w:rsidR="002F2431">
              <w:rPr>
                <w:noProof/>
                <w:webHidden/>
              </w:rPr>
              <w:fldChar w:fldCharType="end"/>
            </w:r>
          </w:hyperlink>
        </w:p>
        <w:p w14:paraId="505884E4" w14:textId="3794C18B" w:rsidR="002F2431" w:rsidRDefault="005E39B6">
          <w:pPr>
            <w:pStyle w:val="TDC2"/>
            <w:rPr>
              <w:rFonts w:eastAsiaTheme="minorEastAsia"/>
              <w:noProof/>
              <w:kern w:val="2"/>
            </w:rPr>
          </w:pPr>
          <w:hyperlink w:anchor="_Toc229834683" w:history="1">
            <w:r w:rsidR="002F2431" w:rsidRPr="00273FB2">
              <w:rPr>
                <w:rStyle w:val="Hipervnculo"/>
                <w:noProof/>
              </w:rPr>
              <w:t>9.</w:t>
            </w:r>
            <w:r w:rsidR="002F2431">
              <w:rPr>
                <w:rFonts w:eastAsiaTheme="minorEastAsia"/>
                <w:noProof/>
                <w:kern w:val="2"/>
              </w:rPr>
              <w:tab/>
            </w:r>
            <w:r w:rsidR="002F2431" w:rsidRPr="00273FB2">
              <w:rPr>
                <w:rStyle w:val="Hipervnculo"/>
                <w:noProof/>
              </w:rPr>
              <w:t>CONCLUSIONES</w:t>
            </w:r>
            <w:r w:rsidR="002F2431">
              <w:rPr>
                <w:noProof/>
                <w:webHidden/>
              </w:rPr>
              <w:tab/>
            </w:r>
            <w:r w:rsidR="002F2431">
              <w:rPr>
                <w:noProof/>
                <w:webHidden/>
              </w:rPr>
              <w:fldChar w:fldCharType="begin"/>
            </w:r>
            <w:r w:rsidR="002F2431">
              <w:rPr>
                <w:noProof/>
                <w:webHidden/>
              </w:rPr>
              <w:instrText xml:space="preserve"> PAGEREF _Toc229834683 \h </w:instrText>
            </w:r>
            <w:r w:rsidR="002F2431">
              <w:rPr>
                <w:noProof/>
                <w:webHidden/>
              </w:rPr>
            </w:r>
            <w:r w:rsidR="002F2431">
              <w:rPr>
                <w:noProof/>
                <w:webHidden/>
              </w:rPr>
              <w:fldChar w:fldCharType="separate"/>
            </w:r>
            <w:r w:rsidR="002F2431">
              <w:rPr>
                <w:noProof/>
                <w:webHidden/>
              </w:rPr>
              <w:t>94</w:t>
            </w:r>
            <w:r w:rsidR="002F2431">
              <w:rPr>
                <w:noProof/>
                <w:webHidden/>
              </w:rPr>
              <w:fldChar w:fldCharType="end"/>
            </w:r>
          </w:hyperlink>
        </w:p>
        <w:p w14:paraId="6EEEF61E" w14:textId="7F49693D" w:rsidR="002F2431" w:rsidRDefault="005E39B6">
          <w:pPr>
            <w:pStyle w:val="TDC1"/>
            <w:tabs>
              <w:tab w:val="left" w:pos="660"/>
              <w:tab w:val="right" w:pos="8828"/>
            </w:tabs>
            <w:rPr>
              <w:rFonts w:eastAsiaTheme="minorEastAsia"/>
              <w:noProof/>
              <w:kern w:val="2"/>
            </w:rPr>
          </w:pPr>
          <w:hyperlink w:anchor="_Toc229834684" w:history="1">
            <w:r w:rsidR="002F2431" w:rsidRPr="00273FB2">
              <w:rPr>
                <w:rStyle w:val="Hipervnculo"/>
                <w:noProof/>
                <w:lang w:val="es-CO"/>
              </w:rPr>
              <w:t>10.</w:t>
            </w:r>
            <w:r w:rsidR="002F2431">
              <w:rPr>
                <w:rFonts w:eastAsiaTheme="minorEastAsia"/>
                <w:noProof/>
                <w:kern w:val="2"/>
              </w:rPr>
              <w:tab/>
            </w:r>
            <w:r w:rsidR="002F2431" w:rsidRPr="00273FB2">
              <w:rPr>
                <w:rStyle w:val="Hipervnculo"/>
                <w:noProof/>
                <w:lang w:val="es-CO"/>
              </w:rPr>
              <w:t>PROPUESTAS DE POLÍTICA PÚBLICA CON ENFOQUE DIFERENCIAL, TERRITORIAL E INTERSECCIONAL</w:t>
            </w:r>
            <w:r w:rsidR="002F2431">
              <w:rPr>
                <w:noProof/>
                <w:webHidden/>
              </w:rPr>
              <w:tab/>
            </w:r>
            <w:r w:rsidR="002F2431">
              <w:rPr>
                <w:noProof/>
                <w:webHidden/>
              </w:rPr>
              <w:fldChar w:fldCharType="begin"/>
            </w:r>
            <w:r w:rsidR="002F2431">
              <w:rPr>
                <w:noProof/>
                <w:webHidden/>
              </w:rPr>
              <w:instrText xml:space="preserve"> PAGEREF _Toc229834684 \h </w:instrText>
            </w:r>
            <w:r w:rsidR="002F2431">
              <w:rPr>
                <w:noProof/>
                <w:webHidden/>
              </w:rPr>
            </w:r>
            <w:r w:rsidR="002F2431">
              <w:rPr>
                <w:noProof/>
                <w:webHidden/>
              </w:rPr>
              <w:fldChar w:fldCharType="separate"/>
            </w:r>
            <w:r w:rsidR="002F2431">
              <w:rPr>
                <w:noProof/>
                <w:webHidden/>
              </w:rPr>
              <w:t>97</w:t>
            </w:r>
            <w:r w:rsidR="002F2431">
              <w:rPr>
                <w:noProof/>
                <w:webHidden/>
              </w:rPr>
              <w:fldChar w:fldCharType="end"/>
            </w:r>
          </w:hyperlink>
        </w:p>
        <w:p w14:paraId="6064CE30" w14:textId="48D393D4" w:rsidR="002F2431" w:rsidRDefault="005E39B6">
          <w:pPr>
            <w:pStyle w:val="TDC1"/>
            <w:tabs>
              <w:tab w:val="left" w:pos="660"/>
              <w:tab w:val="right" w:pos="8828"/>
            </w:tabs>
            <w:rPr>
              <w:rFonts w:eastAsiaTheme="minorEastAsia"/>
              <w:noProof/>
              <w:kern w:val="2"/>
            </w:rPr>
          </w:pPr>
          <w:hyperlink w:anchor="_Toc229834685" w:history="1">
            <w:r w:rsidR="002F2431" w:rsidRPr="00273FB2">
              <w:rPr>
                <w:rStyle w:val="Hipervnculo"/>
                <w:noProof/>
                <w:lang w:val="es-CO"/>
              </w:rPr>
              <w:t>10.1</w:t>
            </w:r>
            <w:r w:rsidR="002F2431">
              <w:rPr>
                <w:rFonts w:eastAsiaTheme="minorEastAsia"/>
                <w:noProof/>
                <w:kern w:val="2"/>
              </w:rPr>
              <w:tab/>
            </w:r>
            <w:r w:rsidR="002F2431" w:rsidRPr="00273FB2">
              <w:rPr>
                <w:rStyle w:val="Hipervnculo"/>
                <w:noProof/>
                <w:lang w:val="es-CO"/>
              </w:rPr>
              <w:t>Lineamientos para la transformación estructural del sistema de salud</w:t>
            </w:r>
            <w:r w:rsidR="002F2431">
              <w:rPr>
                <w:noProof/>
                <w:webHidden/>
              </w:rPr>
              <w:tab/>
            </w:r>
            <w:r w:rsidR="002F2431">
              <w:rPr>
                <w:noProof/>
                <w:webHidden/>
              </w:rPr>
              <w:fldChar w:fldCharType="begin"/>
            </w:r>
            <w:r w:rsidR="002F2431">
              <w:rPr>
                <w:noProof/>
                <w:webHidden/>
              </w:rPr>
              <w:instrText xml:space="preserve"> PAGEREF _Toc229834685 \h </w:instrText>
            </w:r>
            <w:r w:rsidR="002F2431">
              <w:rPr>
                <w:noProof/>
                <w:webHidden/>
              </w:rPr>
            </w:r>
            <w:r w:rsidR="002F2431">
              <w:rPr>
                <w:noProof/>
                <w:webHidden/>
              </w:rPr>
              <w:fldChar w:fldCharType="separate"/>
            </w:r>
            <w:r w:rsidR="002F2431">
              <w:rPr>
                <w:noProof/>
                <w:webHidden/>
              </w:rPr>
              <w:t>97</w:t>
            </w:r>
            <w:r w:rsidR="002F2431">
              <w:rPr>
                <w:noProof/>
                <w:webHidden/>
              </w:rPr>
              <w:fldChar w:fldCharType="end"/>
            </w:r>
          </w:hyperlink>
        </w:p>
        <w:p w14:paraId="1646F9DB" w14:textId="5D436C1A" w:rsidR="002F2431" w:rsidRDefault="005E39B6">
          <w:pPr>
            <w:pStyle w:val="TDC1"/>
            <w:tabs>
              <w:tab w:val="left" w:pos="660"/>
              <w:tab w:val="right" w:pos="8828"/>
            </w:tabs>
            <w:rPr>
              <w:rFonts w:eastAsiaTheme="minorEastAsia"/>
              <w:noProof/>
              <w:kern w:val="2"/>
            </w:rPr>
          </w:pPr>
          <w:hyperlink w:anchor="_Toc229834686" w:history="1">
            <w:r w:rsidR="002F2431" w:rsidRPr="00273FB2">
              <w:rPr>
                <w:rStyle w:val="Hipervnculo"/>
                <w:noProof/>
                <w:lang w:val="es-CO"/>
              </w:rPr>
              <w:t>10.2</w:t>
            </w:r>
            <w:r w:rsidR="002F2431">
              <w:rPr>
                <w:rFonts w:eastAsiaTheme="minorEastAsia"/>
                <w:noProof/>
                <w:kern w:val="2"/>
              </w:rPr>
              <w:tab/>
            </w:r>
            <w:r w:rsidR="002F2431" w:rsidRPr="00273FB2">
              <w:rPr>
                <w:rStyle w:val="Hipervnculo"/>
                <w:noProof/>
                <w:lang w:val="es-CO"/>
              </w:rPr>
              <w:t>Estrategias para poblaciones étnicas, envejecidas y rurales</w:t>
            </w:r>
            <w:r w:rsidR="002F2431">
              <w:rPr>
                <w:noProof/>
                <w:webHidden/>
              </w:rPr>
              <w:tab/>
            </w:r>
            <w:r w:rsidR="002F2431">
              <w:rPr>
                <w:noProof/>
                <w:webHidden/>
              </w:rPr>
              <w:fldChar w:fldCharType="begin"/>
            </w:r>
            <w:r w:rsidR="002F2431">
              <w:rPr>
                <w:noProof/>
                <w:webHidden/>
              </w:rPr>
              <w:instrText xml:space="preserve"> PAGEREF _Toc229834686 \h </w:instrText>
            </w:r>
            <w:r w:rsidR="002F2431">
              <w:rPr>
                <w:noProof/>
                <w:webHidden/>
              </w:rPr>
            </w:r>
            <w:r w:rsidR="002F2431">
              <w:rPr>
                <w:noProof/>
                <w:webHidden/>
              </w:rPr>
              <w:fldChar w:fldCharType="separate"/>
            </w:r>
            <w:r w:rsidR="002F2431">
              <w:rPr>
                <w:noProof/>
                <w:webHidden/>
              </w:rPr>
              <w:t>98</w:t>
            </w:r>
            <w:r w:rsidR="002F2431">
              <w:rPr>
                <w:noProof/>
                <w:webHidden/>
              </w:rPr>
              <w:fldChar w:fldCharType="end"/>
            </w:r>
          </w:hyperlink>
        </w:p>
        <w:p w14:paraId="3BEC080C" w14:textId="454B5DA2" w:rsidR="002F2431" w:rsidRDefault="005E39B6">
          <w:pPr>
            <w:pStyle w:val="TDC1"/>
            <w:tabs>
              <w:tab w:val="right" w:pos="8828"/>
            </w:tabs>
            <w:rPr>
              <w:rFonts w:eastAsiaTheme="minorEastAsia"/>
              <w:noProof/>
              <w:kern w:val="2"/>
            </w:rPr>
          </w:pPr>
          <w:hyperlink w:anchor="_Toc229834687" w:history="1">
            <w:r w:rsidR="002F2431" w:rsidRPr="00273FB2">
              <w:rPr>
                <w:rStyle w:val="Hipervnculo"/>
                <w:noProof/>
                <w:lang w:val="es-CO"/>
              </w:rPr>
              <w:t>10.3. Fortalecimiento del enfoque interseccional en emergencias sanitarias</w:t>
            </w:r>
            <w:r w:rsidR="002F2431">
              <w:rPr>
                <w:noProof/>
                <w:webHidden/>
              </w:rPr>
              <w:tab/>
            </w:r>
            <w:r w:rsidR="002F2431">
              <w:rPr>
                <w:noProof/>
                <w:webHidden/>
              </w:rPr>
              <w:fldChar w:fldCharType="begin"/>
            </w:r>
            <w:r w:rsidR="002F2431">
              <w:rPr>
                <w:noProof/>
                <w:webHidden/>
              </w:rPr>
              <w:instrText xml:space="preserve"> PAGEREF _Toc229834687 \h </w:instrText>
            </w:r>
            <w:r w:rsidR="002F2431">
              <w:rPr>
                <w:noProof/>
                <w:webHidden/>
              </w:rPr>
            </w:r>
            <w:r w:rsidR="002F2431">
              <w:rPr>
                <w:noProof/>
                <w:webHidden/>
              </w:rPr>
              <w:fldChar w:fldCharType="separate"/>
            </w:r>
            <w:r w:rsidR="002F2431">
              <w:rPr>
                <w:noProof/>
                <w:webHidden/>
              </w:rPr>
              <w:t>98</w:t>
            </w:r>
            <w:r w:rsidR="002F2431">
              <w:rPr>
                <w:noProof/>
                <w:webHidden/>
              </w:rPr>
              <w:fldChar w:fldCharType="end"/>
            </w:r>
          </w:hyperlink>
        </w:p>
        <w:p w14:paraId="68FD84C1" w14:textId="52469D7F" w:rsidR="002F2431" w:rsidRDefault="005E39B6">
          <w:pPr>
            <w:pStyle w:val="TDC1"/>
            <w:tabs>
              <w:tab w:val="left" w:pos="660"/>
              <w:tab w:val="right" w:pos="8828"/>
            </w:tabs>
            <w:rPr>
              <w:rFonts w:eastAsiaTheme="minorEastAsia"/>
              <w:noProof/>
              <w:kern w:val="2"/>
            </w:rPr>
          </w:pPr>
          <w:hyperlink w:anchor="_Toc229834688" w:history="1">
            <w:r w:rsidR="002F2431" w:rsidRPr="00273FB2">
              <w:rPr>
                <w:rStyle w:val="Hipervnculo"/>
                <w:noProof/>
                <w:lang w:val="es-CO"/>
              </w:rPr>
              <w:t>10.3</w:t>
            </w:r>
            <w:r w:rsidR="002F2431">
              <w:rPr>
                <w:rFonts w:eastAsiaTheme="minorEastAsia"/>
                <w:noProof/>
                <w:kern w:val="2"/>
              </w:rPr>
              <w:tab/>
            </w:r>
            <w:r w:rsidR="002F2431" w:rsidRPr="00273FB2">
              <w:rPr>
                <w:rStyle w:val="Hipervnculo"/>
                <w:noProof/>
                <w:lang w:val="es-CO"/>
              </w:rPr>
              <w:t>Propuestas para futuras crisis desde la justicia estructural</w:t>
            </w:r>
            <w:r w:rsidR="002F2431">
              <w:rPr>
                <w:noProof/>
                <w:webHidden/>
              </w:rPr>
              <w:tab/>
            </w:r>
            <w:r w:rsidR="002F2431">
              <w:rPr>
                <w:noProof/>
                <w:webHidden/>
              </w:rPr>
              <w:fldChar w:fldCharType="begin"/>
            </w:r>
            <w:r w:rsidR="002F2431">
              <w:rPr>
                <w:noProof/>
                <w:webHidden/>
              </w:rPr>
              <w:instrText xml:space="preserve"> PAGEREF _Toc229834688 \h </w:instrText>
            </w:r>
            <w:r w:rsidR="002F2431">
              <w:rPr>
                <w:noProof/>
                <w:webHidden/>
              </w:rPr>
            </w:r>
            <w:r w:rsidR="002F2431">
              <w:rPr>
                <w:noProof/>
                <w:webHidden/>
              </w:rPr>
              <w:fldChar w:fldCharType="separate"/>
            </w:r>
            <w:r w:rsidR="002F2431">
              <w:rPr>
                <w:noProof/>
                <w:webHidden/>
              </w:rPr>
              <w:t>99</w:t>
            </w:r>
            <w:r w:rsidR="002F2431">
              <w:rPr>
                <w:noProof/>
                <w:webHidden/>
              </w:rPr>
              <w:fldChar w:fldCharType="end"/>
            </w:r>
          </w:hyperlink>
        </w:p>
        <w:p w14:paraId="60DADC7E" w14:textId="53E445EB" w:rsidR="002F2431" w:rsidRDefault="005E39B6">
          <w:pPr>
            <w:pStyle w:val="TDC1"/>
            <w:tabs>
              <w:tab w:val="left" w:pos="660"/>
              <w:tab w:val="right" w:pos="8828"/>
            </w:tabs>
            <w:rPr>
              <w:rFonts w:eastAsiaTheme="minorEastAsia"/>
              <w:noProof/>
              <w:kern w:val="2"/>
            </w:rPr>
          </w:pPr>
          <w:hyperlink w:anchor="_Toc229834689" w:history="1">
            <w:r w:rsidR="002F2431" w:rsidRPr="00273FB2">
              <w:rPr>
                <w:rStyle w:val="Hipervnculo"/>
                <w:noProof/>
                <w:lang w:val="es-CO"/>
              </w:rPr>
              <w:t>19</w:t>
            </w:r>
            <w:r w:rsidR="002F2431">
              <w:rPr>
                <w:rFonts w:eastAsiaTheme="minorEastAsia"/>
                <w:noProof/>
                <w:kern w:val="2"/>
              </w:rPr>
              <w:tab/>
            </w:r>
            <w:r w:rsidR="002F2431" w:rsidRPr="00273FB2">
              <w:rPr>
                <w:rStyle w:val="Hipervnculo"/>
                <w:noProof/>
                <w:lang w:val="es-CO"/>
              </w:rPr>
              <w:t>BIBLIOGRAFIA</w:t>
            </w:r>
            <w:r w:rsidR="002F2431">
              <w:rPr>
                <w:noProof/>
                <w:webHidden/>
              </w:rPr>
              <w:tab/>
            </w:r>
            <w:r w:rsidR="002F2431">
              <w:rPr>
                <w:noProof/>
                <w:webHidden/>
              </w:rPr>
              <w:fldChar w:fldCharType="begin"/>
            </w:r>
            <w:r w:rsidR="002F2431">
              <w:rPr>
                <w:noProof/>
                <w:webHidden/>
              </w:rPr>
              <w:instrText xml:space="preserve"> PAGEREF _Toc229834689 \h </w:instrText>
            </w:r>
            <w:r w:rsidR="002F2431">
              <w:rPr>
                <w:noProof/>
                <w:webHidden/>
              </w:rPr>
            </w:r>
            <w:r w:rsidR="002F2431">
              <w:rPr>
                <w:noProof/>
                <w:webHidden/>
              </w:rPr>
              <w:fldChar w:fldCharType="separate"/>
            </w:r>
            <w:r w:rsidR="002F2431">
              <w:rPr>
                <w:noProof/>
                <w:webHidden/>
              </w:rPr>
              <w:t>101</w:t>
            </w:r>
            <w:r w:rsidR="002F2431">
              <w:rPr>
                <w:noProof/>
                <w:webHidden/>
              </w:rPr>
              <w:fldChar w:fldCharType="end"/>
            </w:r>
          </w:hyperlink>
        </w:p>
        <w:p w14:paraId="2E5EBF90" w14:textId="4749BBB1" w:rsidR="005E3A4B" w:rsidRPr="00C316F8" w:rsidRDefault="00635A7C">
          <w:pPr>
            <w:rPr>
              <w:bCs/>
              <w:lang w:val="es-ES"/>
            </w:rPr>
          </w:pPr>
          <w:r w:rsidRPr="00C316F8">
            <w:rPr>
              <w:lang w:val="es-ES"/>
            </w:rPr>
            <w:fldChar w:fldCharType="end"/>
          </w:r>
        </w:p>
      </w:sdtContent>
    </w:sdt>
    <w:p w14:paraId="7600AF93" w14:textId="77777777" w:rsidR="005E3A4B" w:rsidRPr="00C316F8" w:rsidRDefault="005E3A4B">
      <w:pPr>
        <w:rPr>
          <w:bCs/>
          <w:lang w:val="es-ES"/>
        </w:rPr>
      </w:pPr>
      <w:r w:rsidRPr="00C316F8">
        <w:rPr>
          <w:bCs/>
          <w:lang w:val="es-ES"/>
        </w:rPr>
        <w:br w:type="page"/>
      </w:r>
    </w:p>
    <w:p w14:paraId="282FE1D8" w14:textId="541DD3A0" w:rsidR="00635A7C" w:rsidRPr="00C316F8" w:rsidRDefault="005E3A4B" w:rsidP="00C931AE">
      <w:pPr>
        <w:pStyle w:val="Ttulo1"/>
        <w:jc w:val="center"/>
      </w:pPr>
      <w:bookmarkStart w:id="3" w:name="_Toc229834625"/>
      <w:r w:rsidRPr="00C316F8">
        <w:lastRenderedPageBreak/>
        <w:t>INDICE DE TABLAS</w:t>
      </w:r>
      <w:bookmarkEnd w:id="3"/>
    </w:p>
    <w:p w14:paraId="19ACE391" w14:textId="77777777" w:rsidR="00C931AE" w:rsidRPr="002F2431" w:rsidRDefault="00C931AE" w:rsidP="00C931AE"/>
    <w:p w14:paraId="700A41F1" w14:textId="283646B2" w:rsidR="002F2431" w:rsidRPr="002F2431" w:rsidRDefault="00B66514">
      <w:pPr>
        <w:pStyle w:val="Tabladeilustraciones"/>
        <w:tabs>
          <w:tab w:val="right" w:leader="dot" w:pos="8828"/>
        </w:tabs>
        <w:rPr>
          <w:rFonts w:eastAsiaTheme="minorEastAsia"/>
          <w:noProof/>
          <w:kern w:val="2"/>
        </w:rPr>
      </w:pPr>
      <w:r w:rsidRPr="002F2431">
        <w:fldChar w:fldCharType="begin"/>
      </w:r>
      <w:r w:rsidRPr="002F2431">
        <w:instrText xml:space="preserve"> TOC \h \z \c "Tabla" </w:instrText>
      </w:r>
      <w:r w:rsidRPr="002F2431">
        <w:fldChar w:fldCharType="separate"/>
      </w:r>
      <w:hyperlink w:anchor="_Toc229834690" w:history="1">
        <w:r w:rsidR="002F2431" w:rsidRPr="002F2431">
          <w:rPr>
            <w:rStyle w:val="Hipervnculo"/>
            <w:rFonts w:cstheme="minorHAnsi"/>
            <w:noProof/>
          </w:rPr>
          <w:t>Tabla 1. Categorización municipal en Colombia</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_Toc229834690 \h </w:instrText>
        </w:r>
        <w:r w:rsidR="002F2431" w:rsidRPr="002F2431">
          <w:rPr>
            <w:noProof/>
            <w:webHidden/>
          </w:rPr>
        </w:r>
        <w:r w:rsidR="002F2431" w:rsidRPr="002F2431">
          <w:rPr>
            <w:noProof/>
            <w:webHidden/>
          </w:rPr>
          <w:fldChar w:fldCharType="separate"/>
        </w:r>
        <w:r w:rsidR="002F2431" w:rsidRPr="002F2431">
          <w:rPr>
            <w:noProof/>
            <w:webHidden/>
          </w:rPr>
          <w:t>29</w:t>
        </w:r>
        <w:r w:rsidR="002F2431" w:rsidRPr="002F2431">
          <w:rPr>
            <w:noProof/>
            <w:webHidden/>
          </w:rPr>
          <w:fldChar w:fldCharType="end"/>
        </w:r>
      </w:hyperlink>
    </w:p>
    <w:p w14:paraId="5490B61B" w14:textId="0F4EF8B1" w:rsidR="002F2431" w:rsidRPr="002F2431" w:rsidRDefault="005E39B6">
      <w:pPr>
        <w:pStyle w:val="Tabladeilustraciones"/>
        <w:tabs>
          <w:tab w:val="right" w:leader="dot" w:pos="8828"/>
        </w:tabs>
        <w:rPr>
          <w:rFonts w:eastAsiaTheme="minorEastAsia"/>
          <w:noProof/>
          <w:kern w:val="2"/>
        </w:rPr>
      </w:pPr>
      <w:hyperlink w:anchor="_Toc229834691" w:history="1">
        <w:r w:rsidR="002F2431" w:rsidRPr="002F2431">
          <w:rPr>
            <w:rStyle w:val="Hipervnculo"/>
            <w:rFonts w:cstheme="minorHAnsi"/>
            <w:noProof/>
          </w:rPr>
          <w:t>Tabla 2. Medidas económicas tomadas en Colombia durante la pandemia Covid-19</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_Toc229834691 \h </w:instrText>
        </w:r>
        <w:r w:rsidR="002F2431" w:rsidRPr="002F2431">
          <w:rPr>
            <w:noProof/>
            <w:webHidden/>
          </w:rPr>
        </w:r>
        <w:r w:rsidR="002F2431" w:rsidRPr="002F2431">
          <w:rPr>
            <w:noProof/>
            <w:webHidden/>
          </w:rPr>
          <w:fldChar w:fldCharType="separate"/>
        </w:r>
        <w:r w:rsidR="002F2431" w:rsidRPr="002F2431">
          <w:rPr>
            <w:noProof/>
            <w:webHidden/>
          </w:rPr>
          <w:t>30</w:t>
        </w:r>
        <w:r w:rsidR="002F2431" w:rsidRPr="002F2431">
          <w:rPr>
            <w:noProof/>
            <w:webHidden/>
          </w:rPr>
          <w:fldChar w:fldCharType="end"/>
        </w:r>
      </w:hyperlink>
    </w:p>
    <w:p w14:paraId="4EA717E1" w14:textId="22FD63BE" w:rsidR="002F2431" w:rsidRPr="002F2431" w:rsidRDefault="005E39B6">
      <w:pPr>
        <w:pStyle w:val="Tabladeilustraciones"/>
        <w:tabs>
          <w:tab w:val="right" w:leader="dot" w:pos="8828"/>
        </w:tabs>
        <w:rPr>
          <w:rFonts w:eastAsiaTheme="minorEastAsia"/>
          <w:noProof/>
          <w:kern w:val="2"/>
        </w:rPr>
      </w:pPr>
      <w:hyperlink w:anchor="_Toc229834692" w:history="1">
        <w:r w:rsidR="002F2431" w:rsidRPr="002F2431">
          <w:rPr>
            <w:rStyle w:val="Hipervnculo"/>
            <w:rFonts w:cstheme="minorHAnsi"/>
            <w:noProof/>
          </w:rPr>
          <w:t>Tabla 3. Medidas de salud tomadas en Colombia</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_Toc229834692 \h </w:instrText>
        </w:r>
        <w:r w:rsidR="002F2431" w:rsidRPr="002F2431">
          <w:rPr>
            <w:noProof/>
            <w:webHidden/>
          </w:rPr>
        </w:r>
        <w:r w:rsidR="002F2431" w:rsidRPr="002F2431">
          <w:rPr>
            <w:noProof/>
            <w:webHidden/>
          </w:rPr>
          <w:fldChar w:fldCharType="separate"/>
        </w:r>
        <w:r w:rsidR="002F2431" w:rsidRPr="002F2431">
          <w:rPr>
            <w:noProof/>
            <w:webHidden/>
          </w:rPr>
          <w:t>32</w:t>
        </w:r>
        <w:r w:rsidR="002F2431" w:rsidRPr="002F2431">
          <w:rPr>
            <w:noProof/>
            <w:webHidden/>
          </w:rPr>
          <w:fldChar w:fldCharType="end"/>
        </w:r>
      </w:hyperlink>
    </w:p>
    <w:p w14:paraId="7B4BE60E" w14:textId="4637D089" w:rsidR="002F2431" w:rsidRPr="002F2431" w:rsidRDefault="005E39B6">
      <w:pPr>
        <w:pStyle w:val="Tabladeilustraciones"/>
        <w:tabs>
          <w:tab w:val="right" w:leader="dot" w:pos="8828"/>
        </w:tabs>
        <w:rPr>
          <w:rFonts w:eastAsiaTheme="minorEastAsia"/>
          <w:noProof/>
          <w:kern w:val="2"/>
        </w:rPr>
      </w:pPr>
      <w:hyperlink w:anchor="_Toc229834693" w:history="1">
        <w:r w:rsidR="002F2431" w:rsidRPr="002F2431">
          <w:rPr>
            <w:rStyle w:val="Hipervnculo"/>
            <w:rFonts w:cstheme="minorHAnsi"/>
            <w:noProof/>
          </w:rPr>
          <w:t>Tabla 5. Variación CMPI 2021-2022</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_Toc229834693 \h </w:instrText>
        </w:r>
        <w:r w:rsidR="002F2431" w:rsidRPr="002F2431">
          <w:rPr>
            <w:noProof/>
            <w:webHidden/>
          </w:rPr>
        </w:r>
        <w:r w:rsidR="002F2431" w:rsidRPr="002F2431">
          <w:rPr>
            <w:noProof/>
            <w:webHidden/>
          </w:rPr>
          <w:fldChar w:fldCharType="separate"/>
        </w:r>
        <w:r w:rsidR="002F2431" w:rsidRPr="002F2431">
          <w:rPr>
            <w:noProof/>
            <w:webHidden/>
          </w:rPr>
          <w:t>34</w:t>
        </w:r>
        <w:r w:rsidR="002F2431" w:rsidRPr="002F2431">
          <w:rPr>
            <w:noProof/>
            <w:webHidden/>
          </w:rPr>
          <w:fldChar w:fldCharType="end"/>
        </w:r>
      </w:hyperlink>
    </w:p>
    <w:p w14:paraId="29C5A6B1" w14:textId="26EA272D" w:rsidR="002F2431" w:rsidRPr="002F2431" w:rsidRDefault="005E39B6">
      <w:pPr>
        <w:pStyle w:val="Tabladeilustraciones"/>
        <w:tabs>
          <w:tab w:val="right" w:leader="dot" w:pos="8828"/>
        </w:tabs>
        <w:rPr>
          <w:rFonts w:eastAsiaTheme="minorEastAsia"/>
          <w:noProof/>
          <w:kern w:val="2"/>
        </w:rPr>
      </w:pPr>
      <w:hyperlink w:anchor="_Toc229834694" w:history="1">
        <w:r w:rsidR="002F2431" w:rsidRPr="002F2431">
          <w:rPr>
            <w:rStyle w:val="Hipervnculo"/>
            <w:noProof/>
          </w:rPr>
          <w:t>Tabla 6. Categorización de los municipios según tamaño poblacional, ingresos corrientes libres de destinación específica y patrones de agrupamiento espacial. Colombia, 2020–2022</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_Toc229834694 \h </w:instrText>
        </w:r>
        <w:r w:rsidR="002F2431" w:rsidRPr="002F2431">
          <w:rPr>
            <w:noProof/>
            <w:webHidden/>
          </w:rPr>
        </w:r>
        <w:r w:rsidR="002F2431" w:rsidRPr="002F2431">
          <w:rPr>
            <w:noProof/>
            <w:webHidden/>
          </w:rPr>
          <w:fldChar w:fldCharType="separate"/>
        </w:r>
        <w:r w:rsidR="002F2431" w:rsidRPr="002F2431">
          <w:rPr>
            <w:noProof/>
            <w:webHidden/>
          </w:rPr>
          <w:t>54</w:t>
        </w:r>
        <w:r w:rsidR="002F2431" w:rsidRPr="002F2431">
          <w:rPr>
            <w:noProof/>
            <w:webHidden/>
          </w:rPr>
          <w:fldChar w:fldCharType="end"/>
        </w:r>
      </w:hyperlink>
    </w:p>
    <w:p w14:paraId="1E9894AB" w14:textId="79F385D2" w:rsidR="002F2431" w:rsidRPr="002F2431" w:rsidRDefault="005E39B6">
      <w:pPr>
        <w:pStyle w:val="Tabladeilustraciones"/>
        <w:tabs>
          <w:tab w:val="right" w:leader="dot" w:pos="8828"/>
        </w:tabs>
        <w:rPr>
          <w:rFonts w:eastAsiaTheme="minorEastAsia"/>
          <w:noProof/>
          <w:kern w:val="2"/>
        </w:rPr>
      </w:pPr>
      <w:hyperlink w:anchor="_Toc229834695" w:history="1">
        <w:r w:rsidR="002F2431" w:rsidRPr="002F2431">
          <w:rPr>
            <w:rStyle w:val="Hipervnculo"/>
            <w:rFonts w:cstheme="minorHAnsi"/>
            <w:noProof/>
          </w:rPr>
          <w:t>Tabla 7. Resultados del modelo autorregresivo espacial simultáneo (SAC) – Colombia, 2020</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_Toc229834695 \h </w:instrText>
        </w:r>
        <w:r w:rsidR="002F2431" w:rsidRPr="002F2431">
          <w:rPr>
            <w:noProof/>
            <w:webHidden/>
          </w:rPr>
        </w:r>
        <w:r w:rsidR="002F2431" w:rsidRPr="002F2431">
          <w:rPr>
            <w:noProof/>
            <w:webHidden/>
          </w:rPr>
          <w:fldChar w:fldCharType="separate"/>
        </w:r>
        <w:r w:rsidR="002F2431" w:rsidRPr="002F2431">
          <w:rPr>
            <w:noProof/>
            <w:webHidden/>
          </w:rPr>
          <w:t>56</w:t>
        </w:r>
        <w:r w:rsidR="002F2431" w:rsidRPr="002F2431">
          <w:rPr>
            <w:noProof/>
            <w:webHidden/>
          </w:rPr>
          <w:fldChar w:fldCharType="end"/>
        </w:r>
      </w:hyperlink>
    </w:p>
    <w:p w14:paraId="5E8C18B8" w14:textId="1385BAE8" w:rsidR="002F2431" w:rsidRPr="002F2431" w:rsidRDefault="005E39B6">
      <w:pPr>
        <w:pStyle w:val="Tabladeilustraciones"/>
        <w:tabs>
          <w:tab w:val="right" w:leader="dot" w:pos="8828"/>
        </w:tabs>
        <w:rPr>
          <w:rFonts w:eastAsiaTheme="minorEastAsia"/>
          <w:noProof/>
          <w:kern w:val="2"/>
        </w:rPr>
      </w:pPr>
      <w:hyperlink w:anchor="_Toc229834696" w:history="1">
        <w:r w:rsidR="002F2431" w:rsidRPr="002F2431">
          <w:rPr>
            <w:rStyle w:val="Hipervnculo"/>
            <w:rFonts w:cstheme="minorHAnsi"/>
            <w:noProof/>
          </w:rPr>
          <w:t>Tabla 8. Resultados del modelo autorregresivo espacial simultáneo (SAC) – Colombia, 2021</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_Toc229834696 \h </w:instrText>
        </w:r>
        <w:r w:rsidR="002F2431" w:rsidRPr="002F2431">
          <w:rPr>
            <w:noProof/>
            <w:webHidden/>
          </w:rPr>
        </w:r>
        <w:r w:rsidR="002F2431" w:rsidRPr="002F2431">
          <w:rPr>
            <w:noProof/>
            <w:webHidden/>
          </w:rPr>
          <w:fldChar w:fldCharType="separate"/>
        </w:r>
        <w:r w:rsidR="002F2431" w:rsidRPr="002F2431">
          <w:rPr>
            <w:noProof/>
            <w:webHidden/>
          </w:rPr>
          <w:t>57</w:t>
        </w:r>
        <w:r w:rsidR="002F2431" w:rsidRPr="002F2431">
          <w:rPr>
            <w:noProof/>
            <w:webHidden/>
          </w:rPr>
          <w:fldChar w:fldCharType="end"/>
        </w:r>
      </w:hyperlink>
    </w:p>
    <w:p w14:paraId="3F9D3850" w14:textId="3ABFA0FD" w:rsidR="002F2431" w:rsidRPr="002F2431" w:rsidRDefault="005E39B6">
      <w:pPr>
        <w:pStyle w:val="Tabladeilustraciones"/>
        <w:tabs>
          <w:tab w:val="right" w:leader="dot" w:pos="8828"/>
        </w:tabs>
        <w:rPr>
          <w:rFonts w:eastAsiaTheme="minorEastAsia"/>
          <w:noProof/>
          <w:kern w:val="2"/>
        </w:rPr>
      </w:pPr>
      <w:hyperlink w:anchor="_Toc229834697" w:history="1">
        <w:r w:rsidR="002F2431" w:rsidRPr="002F2431">
          <w:rPr>
            <w:rStyle w:val="Hipervnculo"/>
            <w:rFonts w:cstheme="minorHAnsi"/>
            <w:noProof/>
          </w:rPr>
          <w:t>Tabla 9. Resultados del modelo autorregresivo espacial simultáneo (SAC) – Colombia, 2022</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_Toc229834697 \h </w:instrText>
        </w:r>
        <w:r w:rsidR="002F2431" w:rsidRPr="002F2431">
          <w:rPr>
            <w:noProof/>
            <w:webHidden/>
          </w:rPr>
        </w:r>
        <w:r w:rsidR="002F2431" w:rsidRPr="002F2431">
          <w:rPr>
            <w:noProof/>
            <w:webHidden/>
          </w:rPr>
          <w:fldChar w:fldCharType="separate"/>
        </w:r>
        <w:r w:rsidR="002F2431" w:rsidRPr="002F2431">
          <w:rPr>
            <w:noProof/>
            <w:webHidden/>
          </w:rPr>
          <w:t>58</w:t>
        </w:r>
        <w:r w:rsidR="002F2431" w:rsidRPr="002F2431">
          <w:rPr>
            <w:noProof/>
            <w:webHidden/>
          </w:rPr>
          <w:fldChar w:fldCharType="end"/>
        </w:r>
      </w:hyperlink>
    </w:p>
    <w:p w14:paraId="0D863D5E" w14:textId="4DEB9D7B" w:rsidR="002F2431" w:rsidRPr="002F2431" w:rsidRDefault="005E39B6">
      <w:pPr>
        <w:pStyle w:val="Tabladeilustraciones"/>
        <w:tabs>
          <w:tab w:val="right" w:leader="dot" w:pos="8828"/>
        </w:tabs>
        <w:rPr>
          <w:rFonts w:eastAsiaTheme="minorEastAsia"/>
          <w:noProof/>
          <w:kern w:val="2"/>
        </w:rPr>
      </w:pPr>
      <w:hyperlink w:anchor="_Toc229834698" w:history="1">
        <w:r w:rsidR="002F2431" w:rsidRPr="002F2431">
          <w:rPr>
            <w:rStyle w:val="Hipervnculo"/>
            <w:rFonts w:cstheme="minorHAnsi"/>
            <w:noProof/>
          </w:rPr>
          <w:t>Tabla 10. Tasas de letalidad por COVID-19 según sexo, grupo de edad, grupo étnico y territorios afectados por el conflicto armado. Colombia, 2020-2022</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_Toc229834698 \h </w:instrText>
        </w:r>
        <w:r w:rsidR="002F2431" w:rsidRPr="002F2431">
          <w:rPr>
            <w:noProof/>
            <w:webHidden/>
          </w:rPr>
        </w:r>
        <w:r w:rsidR="002F2431" w:rsidRPr="002F2431">
          <w:rPr>
            <w:noProof/>
            <w:webHidden/>
          </w:rPr>
          <w:fldChar w:fldCharType="separate"/>
        </w:r>
        <w:r w:rsidR="002F2431" w:rsidRPr="002F2431">
          <w:rPr>
            <w:noProof/>
            <w:webHidden/>
          </w:rPr>
          <w:t>72</w:t>
        </w:r>
        <w:r w:rsidR="002F2431" w:rsidRPr="002F2431">
          <w:rPr>
            <w:noProof/>
            <w:webHidden/>
          </w:rPr>
          <w:fldChar w:fldCharType="end"/>
        </w:r>
      </w:hyperlink>
    </w:p>
    <w:p w14:paraId="71ECECA1" w14:textId="45F7A255" w:rsidR="002F2431" w:rsidRPr="002F2431" w:rsidRDefault="005E39B6">
      <w:pPr>
        <w:pStyle w:val="Tabladeilustraciones"/>
        <w:tabs>
          <w:tab w:val="right" w:leader="dot" w:pos="8828"/>
        </w:tabs>
        <w:rPr>
          <w:rFonts w:eastAsiaTheme="minorEastAsia"/>
          <w:noProof/>
          <w:kern w:val="2"/>
        </w:rPr>
      </w:pPr>
      <w:hyperlink w:anchor="_Toc229834699" w:history="1">
        <w:r w:rsidR="002F2431" w:rsidRPr="002F2431">
          <w:rPr>
            <w:rStyle w:val="Hipervnculo"/>
            <w:rFonts w:cstheme="minorHAnsi"/>
            <w:noProof/>
          </w:rPr>
          <w:t>Tabla 11. Índice de Pobreza Multidimensional (CMPI) según grupo étnico, municipio y mortalidad. Colombia, 2020-2022.</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_Toc229834699 \h </w:instrText>
        </w:r>
        <w:r w:rsidR="002F2431" w:rsidRPr="002F2431">
          <w:rPr>
            <w:noProof/>
            <w:webHidden/>
          </w:rPr>
        </w:r>
        <w:r w:rsidR="002F2431" w:rsidRPr="002F2431">
          <w:rPr>
            <w:noProof/>
            <w:webHidden/>
          </w:rPr>
          <w:fldChar w:fldCharType="separate"/>
        </w:r>
        <w:r w:rsidR="002F2431" w:rsidRPr="002F2431">
          <w:rPr>
            <w:noProof/>
            <w:webHidden/>
          </w:rPr>
          <w:t>73</w:t>
        </w:r>
        <w:r w:rsidR="002F2431" w:rsidRPr="002F2431">
          <w:rPr>
            <w:noProof/>
            <w:webHidden/>
          </w:rPr>
          <w:fldChar w:fldCharType="end"/>
        </w:r>
      </w:hyperlink>
    </w:p>
    <w:p w14:paraId="293EC025" w14:textId="4D0E4A8D" w:rsidR="002F2431" w:rsidRPr="002F2431" w:rsidRDefault="005E39B6">
      <w:pPr>
        <w:pStyle w:val="Tabladeilustraciones"/>
        <w:tabs>
          <w:tab w:val="right" w:leader="dot" w:pos="8828"/>
        </w:tabs>
        <w:rPr>
          <w:rFonts w:eastAsiaTheme="minorEastAsia"/>
          <w:noProof/>
          <w:kern w:val="2"/>
        </w:rPr>
      </w:pPr>
      <w:hyperlink w:anchor="_Toc229834700" w:history="1">
        <w:r w:rsidR="002F2431" w:rsidRPr="002F2431">
          <w:rPr>
            <w:rStyle w:val="Hipervnculo"/>
            <w:rFonts w:ascii="Calibri" w:hAnsi="Calibri" w:cs="Calibri"/>
            <w:noProof/>
          </w:rPr>
          <w:t>Tabla 12. Análisis bivariado ajustado por sexo. Colombia, 2020-2022</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_Toc229834700 \h </w:instrText>
        </w:r>
        <w:r w:rsidR="002F2431" w:rsidRPr="002F2431">
          <w:rPr>
            <w:noProof/>
            <w:webHidden/>
          </w:rPr>
        </w:r>
        <w:r w:rsidR="002F2431" w:rsidRPr="002F2431">
          <w:rPr>
            <w:noProof/>
            <w:webHidden/>
          </w:rPr>
          <w:fldChar w:fldCharType="separate"/>
        </w:r>
        <w:r w:rsidR="002F2431" w:rsidRPr="002F2431">
          <w:rPr>
            <w:noProof/>
            <w:webHidden/>
          </w:rPr>
          <w:t>73</w:t>
        </w:r>
        <w:r w:rsidR="002F2431" w:rsidRPr="002F2431">
          <w:rPr>
            <w:noProof/>
            <w:webHidden/>
          </w:rPr>
          <w:fldChar w:fldCharType="end"/>
        </w:r>
      </w:hyperlink>
    </w:p>
    <w:p w14:paraId="675E1565" w14:textId="31570367" w:rsidR="002F2431" w:rsidRPr="002F2431" w:rsidRDefault="005E39B6">
      <w:pPr>
        <w:pStyle w:val="Tabladeilustraciones"/>
        <w:tabs>
          <w:tab w:val="right" w:leader="dot" w:pos="8828"/>
        </w:tabs>
        <w:rPr>
          <w:rFonts w:eastAsiaTheme="minorEastAsia"/>
          <w:noProof/>
          <w:kern w:val="2"/>
        </w:rPr>
      </w:pPr>
      <w:hyperlink w:anchor="_Toc229834701" w:history="1">
        <w:r w:rsidR="002F2431" w:rsidRPr="002F2431">
          <w:rPr>
            <w:rStyle w:val="Hipervnculo"/>
            <w:rFonts w:cstheme="minorHAnsi"/>
            <w:noProof/>
          </w:rPr>
          <w:t>Tabla 13. Análisis multinivel para determinar el riesgo de variables individuales y territoriales sobre la mortalidad por COVID-19. Colombia, 2020-2022</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_Toc229834701 \h </w:instrText>
        </w:r>
        <w:r w:rsidR="002F2431" w:rsidRPr="002F2431">
          <w:rPr>
            <w:noProof/>
            <w:webHidden/>
          </w:rPr>
        </w:r>
        <w:r w:rsidR="002F2431" w:rsidRPr="002F2431">
          <w:rPr>
            <w:noProof/>
            <w:webHidden/>
          </w:rPr>
          <w:fldChar w:fldCharType="separate"/>
        </w:r>
        <w:r w:rsidR="002F2431" w:rsidRPr="002F2431">
          <w:rPr>
            <w:noProof/>
            <w:webHidden/>
          </w:rPr>
          <w:t>74</w:t>
        </w:r>
        <w:r w:rsidR="002F2431" w:rsidRPr="002F2431">
          <w:rPr>
            <w:noProof/>
            <w:webHidden/>
          </w:rPr>
          <w:fldChar w:fldCharType="end"/>
        </w:r>
      </w:hyperlink>
    </w:p>
    <w:p w14:paraId="1F67A83F" w14:textId="08D4EE91" w:rsidR="002F2431" w:rsidRPr="002F2431" w:rsidRDefault="005E39B6">
      <w:pPr>
        <w:pStyle w:val="Tabladeilustraciones"/>
        <w:tabs>
          <w:tab w:val="right" w:leader="dot" w:pos="8828"/>
        </w:tabs>
        <w:rPr>
          <w:rFonts w:eastAsiaTheme="minorEastAsia"/>
          <w:noProof/>
          <w:kern w:val="2"/>
        </w:rPr>
      </w:pPr>
      <w:hyperlink w:anchor="_Toc229834702" w:history="1">
        <w:r w:rsidR="002F2431" w:rsidRPr="002F2431">
          <w:rPr>
            <w:rStyle w:val="Hipervnculo"/>
            <w:rFonts w:cstheme="minorHAnsi"/>
            <w:noProof/>
          </w:rPr>
          <w:t>Tabla 14. Porcentaje por edad de los centenarios durante la pandemia de COVID-19</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_Toc229834702 \h </w:instrText>
        </w:r>
        <w:r w:rsidR="002F2431" w:rsidRPr="002F2431">
          <w:rPr>
            <w:noProof/>
            <w:webHidden/>
          </w:rPr>
        </w:r>
        <w:r w:rsidR="002F2431" w:rsidRPr="002F2431">
          <w:rPr>
            <w:noProof/>
            <w:webHidden/>
          </w:rPr>
          <w:fldChar w:fldCharType="separate"/>
        </w:r>
        <w:r w:rsidR="002F2431" w:rsidRPr="002F2431">
          <w:rPr>
            <w:noProof/>
            <w:webHidden/>
          </w:rPr>
          <w:t>84</w:t>
        </w:r>
        <w:r w:rsidR="002F2431" w:rsidRPr="002F2431">
          <w:rPr>
            <w:noProof/>
            <w:webHidden/>
          </w:rPr>
          <w:fldChar w:fldCharType="end"/>
        </w:r>
      </w:hyperlink>
    </w:p>
    <w:p w14:paraId="66AE4995" w14:textId="62440057" w:rsidR="002F2431" w:rsidRPr="002F2431" w:rsidRDefault="005E39B6">
      <w:pPr>
        <w:pStyle w:val="Tabladeilustraciones"/>
        <w:tabs>
          <w:tab w:val="right" w:leader="dot" w:pos="8828"/>
        </w:tabs>
        <w:rPr>
          <w:rFonts w:eastAsiaTheme="minorEastAsia"/>
          <w:noProof/>
          <w:kern w:val="2"/>
        </w:rPr>
      </w:pPr>
      <w:hyperlink w:anchor="_Toc229834703" w:history="1">
        <w:r w:rsidR="002F2431" w:rsidRPr="002F2431">
          <w:rPr>
            <w:rStyle w:val="Hipervnculo"/>
            <w:rFonts w:cstheme="minorHAnsi"/>
            <w:noProof/>
          </w:rPr>
          <w:t>Tabla 15. Distribución de centenarios por etnia</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_Toc229834703 \h </w:instrText>
        </w:r>
        <w:r w:rsidR="002F2431" w:rsidRPr="002F2431">
          <w:rPr>
            <w:noProof/>
            <w:webHidden/>
          </w:rPr>
        </w:r>
        <w:r w:rsidR="002F2431" w:rsidRPr="002F2431">
          <w:rPr>
            <w:noProof/>
            <w:webHidden/>
          </w:rPr>
          <w:fldChar w:fldCharType="separate"/>
        </w:r>
        <w:r w:rsidR="002F2431" w:rsidRPr="002F2431">
          <w:rPr>
            <w:noProof/>
            <w:webHidden/>
          </w:rPr>
          <w:t>88</w:t>
        </w:r>
        <w:r w:rsidR="002F2431" w:rsidRPr="002F2431">
          <w:rPr>
            <w:noProof/>
            <w:webHidden/>
          </w:rPr>
          <w:fldChar w:fldCharType="end"/>
        </w:r>
      </w:hyperlink>
    </w:p>
    <w:p w14:paraId="4749CB05" w14:textId="64007B01" w:rsidR="002F2431" w:rsidRPr="002F2431" w:rsidRDefault="005E39B6">
      <w:pPr>
        <w:pStyle w:val="Tabladeilustraciones"/>
        <w:tabs>
          <w:tab w:val="right" w:leader="dot" w:pos="8828"/>
        </w:tabs>
        <w:rPr>
          <w:rFonts w:eastAsiaTheme="minorEastAsia"/>
          <w:noProof/>
          <w:kern w:val="2"/>
        </w:rPr>
      </w:pPr>
      <w:hyperlink w:anchor="_Toc229834704" w:history="1">
        <w:r w:rsidR="002F2431" w:rsidRPr="002F2431">
          <w:rPr>
            <w:rStyle w:val="Hipervnculo"/>
            <w:rFonts w:cstheme="minorHAnsi"/>
            <w:noProof/>
          </w:rPr>
          <w:t>Tabla 16. Distribución de centenarios por Departamento y tasa de mortalidad por 100.000 habitantes.</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_Toc229834704 \h </w:instrText>
        </w:r>
        <w:r w:rsidR="002F2431" w:rsidRPr="002F2431">
          <w:rPr>
            <w:noProof/>
            <w:webHidden/>
          </w:rPr>
        </w:r>
        <w:r w:rsidR="002F2431" w:rsidRPr="002F2431">
          <w:rPr>
            <w:noProof/>
            <w:webHidden/>
          </w:rPr>
          <w:fldChar w:fldCharType="separate"/>
        </w:r>
        <w:r w:rsidR="002F2431" w:rsidRPr="002F2431">
          <w:rPr>
            <w:noProof/>
            <w:webHidden/>
          </w:rPr>
          <w:t>89</w:t>
        </w:r>
        <w:r w:rsidR="002F2431" w:rsidRPr="002F2431">
          <w:rPr>
            <w:noProof/>
            <w:webHidden/>
          </w:rPr>
          <w:fldChar w:fldCharType="end"/>
        </w:r>
      </w:hyperlink>
    </w:p>
    <w:p w14:paraId="74FE5C40" w14:textId="1DB0F9B5" w:rsidR="002F2431" w:rsidRPr="002F2431" w:rsidRDefault="005E39B6">
      <w:pPr>
        <w:pStyle w:val="Tabladeilustraciones"/>
        <w:tabs>
          <w:tab w:val="right" w:leader="dot" w:pos="8828"/>
        </w:tabs>
        <w:rPr>
          <w:rFonts w:eastAsiaTheme="minorEastAsia"/>
          <w:noProof/>
          <w:kern w:val="2"/>
        </w:rPr>
      </w:pPr>
      <w:hyperlink w:anchor="_Toc229834705" w:history="1">
        <w:r w:rsidR="002F2431" w:rsidRPr="002F2431">
          <w:rPr>
            <w:rStyle w:val="Hipervnculo"/>
            <w:rFonts w:cstheme="minorHAnsi"/>
            <w:noProof/>
          </w:rPr>
          <w:t>Tabla 17. Distribución de frecuencias de centenarios por categoría de municipio</w:t>
        </w:r>
        <w:r w:rsidR="002F2431" w:rsidRPr="002F2431">
          <w:rPr>
            <w:noProof/>
            <w:webHidden/>
          </w:rPr>
          <w:tab/>
        </w:r>
        <w:r w:rsidR="002F2431" w:rsidRPr="002F2431">
          <w:rPr>
            <w:noProof/>
            <w:webHidden/>
          </w:rPr>
          <w:fldChar w:fldCharType="begin"/>
        </w:r>
        <w:r w:rsidR="002F2431" w:rsidRPr="002F2431">
          <w:rPr>
            <w:noProof/>
            <w:webHidden/>
          </w:rPr>
          <w:instrText xml:space="preserve"> PAGEREF _Toc229834705 \h </w:instrText>
        </w:r>
        <w:r w:rsidR="002F2431" w:rsidRPr="002F2431">
          <w:rPr>
            <w:noProof/>
            <w:webHidden/>
          </w:rPr>
        </w:r>
        <w:r w:rsidR="002F2431" w:rsidRPr="002F2431">
          <w:rPr>
            <w:noProof/>
            <w:webHidden/>
          </w:rPr>
          <w:fldChar w:fldCharType="separate"/>
        </w:r>
        <w:r w:rsidR="002F2431" w:rsidRPr="002F2431">
          <w:rPr>
            <w:noProof/>
            <w:webHidden/>
          </w:rPr>
          <w:t>90</w:t>
        </w:r>
        <w:r w:rsidR="002F2431" w:rsidRPr="002F2431">
          <w:rPr>
            <w:noProof/>
            <w:webHidden/>
          </w:rPr>
          <w:fldChar w:fldCharType="end"/>
        </w:r>
      </w:hyperlink>
    </w:p>
    <w:p w14:paraId="6C190745" w14:textId="5D25F07E" w:rsidR="00B66514" w:rsidRPr="00C316F8" w:rsidRDefault="00B66514">
      <w:r w:rsidRPr="002F2431">
        <w:fldChar w:fldCharType="end"/>
      </w:r>
    </w:p>
    <w:p w14:paraId="46003817" w14:textId="77777777" w:rsidR="00B66514" w:rsidRPr="00C316F8" w:rsidRDefault="00B66514">
      <w:r w:rsidRPr="00C316F8">
        <w:br w:type="page"/>
      </w:r>
    </w:p>
    <w:p w14:paraId="6C104130" w14:textId="20372E40" w:rsidR="005E3A4B" w:rsidRPr="00C316F8" w:rsidRDefault="00C931AE" w:rsidP="00C931AE">
      <w:pPr>
        <w:pStyle w:val="Ttulo1"/>
        <w:jc w:val="center"/>
        <w:rPr>
          <w:lang w:val="es-CO"/>
        </w:rPr>
      </w:pPr>
      <w:bookmarkStart w:id="4" w:name="_Toc229834626"/>
      <w:r w:rsidRPr="00C316F8">
        <w:rPr>
          <w:lang w:val="es-CO"/>
        </w:rPr>
        <w:lastRenderedPageBreak/>
        <w:t>INDICE DE GRAFICAS</w:t>
      </w:r>
      <w:bookmarkEnd w:id="4"/>
    </w:p>
    <w:p w14:paraId="7453DB6E" w14:textId="77777777" w:rsidR="00C931AE" w:rsidRPr="00C316F8" w:rsidRDefault="00C931AE" w:rsidP="00C931AE">
      <w:pPr>
        <w:rPr>
          <w:lang w:val="es-CO"/>
        </w:rPr>
      </w:pPr>
    </w:p>
    <w:p w14:paraId="642B5072" w14:textId="5439F80B" w:rsidR="002F2431" w:rsidRPr="002D2834" w:rsidRDefault="00C931AE">
      <w:pPr>
        <w:pStyle w:val="Tabladeilustraciones"/>
        <w:tabs>
          <w:tab w:val="right" w:leader="dot" w:pos="8828"/>
        </w:tabs>
        <w:rPr>
          <w:rFonts w:eastAsiaTheme="minorEastAsia"/>
          <w:noProof/>
          <w:kern w:val="2"/>
        </w:rPr>
      </w:pPr>
      <w:r w:rsidRPr="002D2834">
        <w:fldChar w:fldCharType="begin"/>
      </w:r>
      <w:r w:rsidRPr="002D2834">
        <w:rPr>
          <w:lang w:val="es-CO"/>
        </w:rPr>
        <w:instrText xml:space="preserve"> TOC \h \z \c "Figura" </w:instrText>
      </w:r>
      <w:r w:rsidRPr="002D2834">
        <w:fldChar w:fldCharType="separate"/>
      </w:r>
      <w:hyperlink w:anchor="_Toc229834706" w:history="1">
        <w:r w:rsidR="002F2431" w:rsidRPr="002D2834">
          <w:rPr>
            <w:rStyle w:val="Hipervnculo"/>
            <w:rFonts w:ascii="Calibri" w:hAnsi="Calibri" w:cs="Calibri"/>
            <w:noProof/>
          </w:rPr>
          <w:t xml:space="preserve">Figura 1. Curva de Preston </w:t>
        </w:r>
        <w:r w:rsidR="002F2431" w:rsidRPr="002D2834">
          <w:rPr>
            <w:rStyle w:val="Hipervnculo"/>
            <w:rFonts w:cstheme="minorHAnsi"/>
            <w:noProof/>
          </w:rPr>
          <w:t>(30)</w:t>
        </w:r>
        <w:r w:rsidR="002F2431" w:rsidRPr="002D2834">
          <w:rPr>
            <w:noProof/>
            <w:webHidden/>
          </w:rPr>
          <w:tab/>
        </w:r>
        <w:r w:rsidR="002F2431" w:rsidRPr="002D2834">
          <w:rPr>
            <w:noProof/>
            <w:webHidden/>
          </w:rPr>
          <w:fldChar w:fldCharType="begin"/>
        </w:r>
        <w:r w:rsidR="002F2431" w:rsidRPr="002D2834">
          <w:rPr>
            <w:noProof/>
            <w:webHidden/>
          </w:rPr>
          <w:instrText xml:space="preserve"> PAGEREF _Toc229834706 \h </w:instrText>
        </w:r>
        <w:r w:rsidR="002F2431" w:rsidRPr="002D2834">
          <w:rPr>
            <w:noProof/>
            <w:webHidden/>
          </w:rPr>
        </w:r>
        <w:r w:rsidR="002F2431" w:rsidRPr="002D2834">
          <w:rPr>
            <w:noProof/>
            <w:webHidden/>
          </w:rPr>
          <w:fldChar w:fldCharType="separate"/>
        </w:r>
        <w:r w:rsidR="002F2431" w:rsidRPr="002D2834">
          <w:rPr>
            <w:noProof/>
            <w:webHidden/>
          </w:rPr>
          <w:t>19</w:t>
        </w:r>
        <w:r w:rsidR="002F2431" w:rsidRPr="002D2834">
          <w:rPr>
            <w:noProof/>
            <w:webHidden/>
          </w:rPr>
          <w:fldChar w:fldCharType="end"/>
        </w:r>
      </w:hyperlink>
    </w:p>
    <w:p w14:paraId="6CBA1641" w14:textId="7E8C8EA7" w:rsidR="002F2431" w:rsidRPr="002D2834" w:rsidRDefault="005E39B6">
      <w:pPr>
        <w:pStyle w:val="Tabladeilustraciones"/>
        <w:tabs>
          <w:tab w:val="right" w:leader="dot" w:pos="8828"/>
        </w:tabs>
        <w:rPr>
          <w:rFonts w:eastAsiaTheme="minorEastAsia"/>
          <w:noProof/>
          <w:kern w:val="2"/>
        </w:rPr>
      </w:pPr>
      <w:hyperlink w:anchor="_Toc229834707" w:history="1">
        <w:r w:rsidR="002F2431" w:rsidRPr="002D2834">
          <w:rPr>
            <w:rStyle w:val="Hipervnculo"/>
            <w:rFonts w:ascii="Calibri" w:hAnsi="Calibri" w:cs="Calibri"/>
            <w:noProof/>
          </w:rPr>
          <w:t>Figura 2. Brecha de salud entre personas blancas y afrodescendientes según nivel socioeconómico (SES). Eje vertical: salud; eje horizontal: nivel socioeconómico. (a) Teoría de la pobreza de las minorías: la brecha de salud es mayor en condiciones de pobreza y menor en estratos altos. (b) Teoría del crecimiento decreciente: los beneficios socioeconómicos en salud son menores para las minorías, aumentando la brecha en estratos altos  (5)</w:t>
        </w:r>
        <w:r w:rsidR="002F2431" w:rsidRPr="002D2834">
          <w:rPr>
            <w:noProof/>
            <w:webHidden/>
          </w:rPr>
          <w:tab/>
        </w:r>
        <w:r w:rsidR="002F2431" w:rsidRPr="002D2834">
          <w:rPr>
            <w:noProof/>
            <w:webHidden/>
          </w:rPr>
          <w:fldChar w:fldCharType="begin"/>
        </w:r>
        <w:r w:rsidR="002F2431" w:rsidRPr="002D2834">
          <w:rPr>
            <w:noProof/>
            <w:webHidden/>
          </w:rPr>
          <w:instrText xml:space="preserve"> PAGEREF _Toc229834707 \h </w:instrText>
        </w:r>
        <w:r w:rsidR="002F2431" w:rsidRPr="002D2834">
          <w:rPr>
            <w:noProof/>
            <w:webHidden/>
          </w:rPr>
        </w:r>
        <w:r w:rsidR="002F2431" w:rsidRPr="002D2834">
          <w:rPr>
            <w:noProof/>
            <w:webHidden/>
          </w:rPr>
          <w:fldChar w:fldCharType="separate"/>
        </w:r>
        <w:r w:rsidR="002F2431" w:rsidRPr="002D2834">
          <w:rPr>
            <w:noProof/>
            <w:webHidden/>
          </w:rPr>
          <w:t>22</w:t>
        </w:r>
        <w:r w:rsidR="002F2431" w:rsidRPr="002D2834">
          <w:rPr>
            <w:noProof/>
            <w:webHidden/>
          </w:rPr>
          <w:fldChar w:fldCharType="end"/>
        </w:r>
      </w:hyperlink>
    </w:p>
    <w:p w14:paraId="39F4AA95" w14:textId="3A94ADBB" w:rsidR="002F2431" w:rsidRPr="002D2834" w:rsidRDefault="005E39B6">
      <w:pPr>
        <w:pStyle w:val="Tabladeilustraciones"/>
        <w:tabs>
          <w:tab w:val="right" w:leader="dot" w:pos="8828"/>
        </w:tabs>
        <w:rPr>
          <w:rFonts w:eastAsiaTheme="minorEastAsia"/>
          <w:noProof/>
          <w:kern w:val="2"/>
        </w:rPr>
      </w:pPr>
      <w:hyperlink w:anchor="_Toc229834708" w:history="1">
        <w:r w:rsidR="002F2431" w:rsidRPr="002D2834">
          <w:rPr>
            <w:rStyle w:val="Hipervnculo"/>
            <w:rFonts w:ascii="Calibri" w:hAnsi="Calibri" w:cs="Calibri"/>
            <w:noProof/>
          </w:rPr>
          <w:t>Figura 3. Análisis LISA univariado del CMPI (Colombia, 2018) y de las tasas de mortalidad (Colombia, 2020–</w:t>
        </w:r>
        <w:r w:rsidR="002F2431" w:rsidRPr="002D2834">
          <w:rPr>
            <w:rStyle w:val="Hipervnculo"/>
            <w:rFonts w:cstheme="minorHAnsi"/>
            <w:noProof/>
          </w:rPr>
          <w:t>2022)</w:t>
        </w:r>
        <w:r w:rsidR="002F2431" w:rsidRPr="002D2834">
          <w:rPr>
            <w:noProof/>
            <w:webHidden/>
          </w:rPr>
          <w:tab/>
        </w:r>
        <w:r w:rsidR="002F2431" w:rsidRPr="002D2834">
          <w:rPr>
            <w:noProof/>
            <w:webHidden/>
          </w:rPr>
          <w:fldChar w:fldCharType="begin"/>
        </w:r>
        <w:r w:rsidR="002F2431" w:rsidRPr="002D2834">
          <w:rPr>
            <w:noProof/>
            <w:webHidden/>
          </w:rPr>
          <w:instrText xml:space="preserve"> PAGEREF _Toc229834708 \h </w:instrText>
        </w:r>
        <w:r w:rsidR="002F2431" w:rsidRPr="002D2834">
          <w:rPr>
            <w:noProof/>
            <w:webHidden/>
          </w:rPr>
        </w:r>
        <w:r w:rsidR="002F2431" w:rsidRPr="002D2834">
          <w:rPr>
            <w:noProof/>
            <w:webHidden/>
          </w:rPr>
          <w:fldChar w:fldCharType="separate"/>
        </w:r>
        <w:r w:rsidR="002F2431" w:rsidRPr="002D2834">
          <w:rPr>
            <w:noProof/>
            <w:webHidden/>
          </w:rPr>
          <w:t>52</w:t>
        </w:r>
        <w:r w:rsidR="002F2431" w:rsidRPr="002D2834">
          <w:rPr>
            <w:noProof/>
            <w:webHidden/>
          </w:rPr>
          <w:fldChar w:fldCharType="end"/>
        </w:r>
      </w:hyperlink>
    </w:p>
    <w:p w14:paraId="7A40F06A" w14:textId="00241EB6" w:rsidR="002F2431" w:rsidRPr="002D2834" w:rsidRDefault="005E39B6">
      <w:pPr>
        <w:pStyle w:val="Tabladeilustraciones"/>
        <w:tabs>
          <w:tab w:val="right" w:leader="dot" w:pos="8828"/>
        </w:tabs>
        <w:rPr>
          <w:rFonts w:eastAsiaTheme="minorEastAsia"/>
          <w:noProof/>
          <w:kern w:val="2"/>
        </w:rPr>
      </w:pPr>
      <w:hyperlink w:anchor="_Toc229834709" w:history="1">
        <w:r w:rsidR="002F2431" w:rsidRPr="002D2834">
          <w:rPr>
            <w:rStyle w:val="Hipervnculo"/>
            <w:rFonts w:cstheme="minorHAnsi"/>
            <w:noProof/>
          </w:rPr>
          <w:t>Figura 4. Mapas de conglomerados significativos obtenidos mediante el análisis LISA de las tasas de mortalidad por COVID-19 y el Índice de Pobreza Multidimensional Municipal (CMPI). Colombia, 2020-2022</w:t>
        </w:r>
        <w:r w:rsidR="002F2431" w:rsidRPr="002D2834">
          <w:rPr>
            <w:noProof/>
            <w:webHidden/>
          </w:rPr>
          <w:tab/>
        </w:r>
        <w:r w:rsidR="002F2431" w:rsidRPr="002D2834">
          <w:rPr>
            <w:noProof/>
            <w:webHidden/>
          </w:rPr>
          <w:fldChar w:fldCharType="begin"/>
        </w:r>
        <w:r w:rsidR="002F2431" w:rsidRPr="002D2834">
          <w:rPr>
            <w:noProof/>
            <w:webHidden/>
          </w:rPr>
          <w:instrText xml:space="preserve"> PAGEREF _Toc229834709 \h </w:instrText>
        </w:r>
        <w:r w:rsidR="002F2431" w:rsidRPr="002D2834">
          <w:rPr>
            <w:noProof/>
            <w:webHidden/>
          </w:rPr>
        </w:r>
        <w:r w:rsidR="002F2431" w:rsidRPr="002D2834">
          <w:rPr>
            <w:noProof/>
            <w:webHidden/>
          </w:rPr>
          <w:fldChar w:fldCharType="separate"/>
        </w:r>
        <w:r w:rsidR="002F2431" w:rsidRPr="002D2834">
          <w:rPr>
            <w:noProof/>
            <w:webHidden/>
          </w:rPr>
          <w:t>55</w:t>
        </w:r>
        <w:r w:rsidR="002F2431" w:rsidRPr="002D2834">
          <w:rPr>
            <w:noProof/>
            <w:webHidden/>
          </w:rPr>
          <w:fldChar w:fldCharType="end"/>
        </w:r>
      </w:hyperlink>
    </w:p>
    <w:p w14:paraId="28540DFE" w14:textId="5E1A4DD9" w:rsidR="002F2431" w:rsidRPr="002D2834" w:rsidRDefault="005E39B6">
      <w:pPr>
        <w:pStyle w:val="Tabladeilustraciones"/>
        <w:tabs>
          <w:tab w:val="right" w:leader="dot" w:pos="8828"/>
        </w:tabs>
        <w:rPr>
          <w:rFonts w:eastAsiaTheme="minorEastAsia"/>
          <w:noProof/>
          <w:kern w:val="2"/>
        </w:rPr>
      </w:pPr>
      <w:hyperlink w:anchor="_Toc229834710" w:history="1">
        <w:r w:rsidR="002F2431" w:rsidRPr="002D2834">
          <w:rPr>
            <w:rStyle w:val="Hipervnculo"/>
            <w:rFonts w:ascii="Calibri" w:hAnsi="Calibri" w:cs="Calibri"/>
            <w:noProof/>
          </w:rPr>
          <w:t>Figura 5. Índice de pobreza multidimensional en Colombia, dimensiones y variables</w:t>
        </w:r>
        <w:r w:rsidR="002F2431" w:rsidRPr="002D2834">
          <w:rPr>
            <w:noProof/>
            <w:webHidden/>
          </w:rPr>
          <w:tab/>
        </w:r>
        <w:r w:rsidR="002F2431" w:rsidRPr="002D2834">
          <w:rPr>
            <w:noProof/>
            <w:webHidden/>
          </w:rPr>
          <w:fldChar w:fldCharType="begin"/>
        </w:r>
        <w:r w:rsidR="002F2431" w:rsidRPr="002D2834">
          <w:rPr>
            <w:noProof/>
            <w:webHidden/>
          </w:rPr>
          <w:instrText xml:space="preserve"> PAGEREF _Toc229834710 \h </w:instrText>
        </w:r>
        <w:r w:rsidR="002F2431" w:rsidRPr="002D2834">
          <w:rPr>
            <w:noProof/>
            <w:webHidden/>
          </w:rPr>
        </w:r>
        <w:r w:rsidR="002F2431" w:rsidRPr="002D2834">
          <w:rPr>
            <w:noProof/>
            <w:webHidden/>
          </w:rPr>
          <w:fldChar w:fldCharType="separate"/>
        </w:r>
        <w:r w:rsidR="002F2431" w:rsidRPr="002D2834">
          <w:rPr>
            <w:noProof/>
            <w:webHidden/>
          </w:rPr>
          <w:t>67</w:t>
        </w:r>
        <w:r w:rsidR="002F2431" w:rsidRPr="002D2834">
          <w:rPr>
            <w:noProof/>
            <w:webHidden/>
          </w:rPr>
          <w:fldChar w:fldCharType="end"/>
        </w:r>
      </w:hyperlink>
    </w:p>
    <w:p w14:paraId="3BA989F0" w14:textId="0AE2F0B1" w:rsidR="002F2431" w:rsidRPr="002D2834" w:rsidRDefault="005E39B6">
      <w:pPr>
        <w:pStyle w:val="Tabladeilustraciones"/>
        <w:tabs>
          <w:tab w:val="right" w:leader="dot" w:pos="8828"/>
        </w:tabs>
        <w:rPr>
          <w:rFonts w:eastAsiaTheme="minorEastAsia"/>
          <w:noProof/>
          <w:kern w:val="2"/>
        </w:rPr>
      </w:pPr>
      <w:hyperlink w:anchor="_Toc229834711" w:history="1">
        <w:r w:rsidR="002F2431" w:rsidRPr="002D2834">
          <w:rPr>
            <w:rStyle w:val="Hipervnculo"/>
            <w:rFonts w:ascii="Calibri" w:hAnsi="Calibri" w:cs="Calibri"/>
            <w:noProof/>
          </w:rPr>
          <w:t>Figura 6. Letalidad por COVID-19 según grupos étnicos y territorios afectados por el conflicto armado. Colombia, 2020-2022.</w:t>
        </w:r>
        <w:r w:rsidR="002F2431" w:rsidRPr="002D2834">
          <w:rPr>
            <w:noProof/>
            <w:webHidden/>
          </w:rPr>
          <w:tab/>
        </w:r>
        <w:r w:rsidR="002F2431" w:rsidRPr="002D2834">
          <w:rPr>
            <w:noProof/>
            <w:webHidden/>
          </w:rPr>
          <w:fldChar w:fldCharType="begin"/>
        </w:r>
        <w:r w:rsidR="002F2431" w:rsidRPr="002D2834">
          <w:rPr>
            <w:noProof/>
            <w:webHidden/>
          </w:rPr>
          <w:instrText xml:space="preserve"> PAGEREF _Toc229834711 \h </w:instrText>
        </w:r>
        <w:r w:rsidR="002F2431" w:rsidRPr="002D2834">
          <w:rPr>
            <w:noProof/>
            <w:webHidden/>
          </w:rPr>
        </w:r>
        <w:r w:rsidR="002F2431" w:rsidRPr="002D2834">
          <w:rPr>
            <w:noProof/>
            <w:webHidden/>
          </w:rPr>
          <w:fldChar w:fldCharType="separate"/>
        </w:r>
        <w:r w:rsidR="002F2431" w:rsidRPr="002D2834">
          <w:rPr>
            <w:noProof/>
            <w:webHidden/>
          </w:rPr>
          <w:t>71</w:t>
        </w:r>
        <w:r w:rsidR="002F2431" w:rsidRPr="002D2834">
          <w:rPr>
            <w:noProof/>
            <w:webHidden/>
          </w:rPr>
          <w:fldChar w:fldCharType="end"/>
        </w:r>
      </w:hyperlink>
    </w:p>
    <w:p w14:paraId="721D8CA8" w14:textId="42638E6F" w:rsidR="002F2431" w:rsidRPr="002D2834" w:rsidRDefault="005E39B6">
      <w:pPr>
        <w:pStyle w:val="Tabladeilustraciones"/>
        <w:tabs>
          <w:tab w:val="right" w:leader="dot" w:pos="8828"/>
        </w:tabs>
        <w:rPr>
          <w:rFonts w:eastAsiaTheme="minorEastAsia"/>
          <w:noProof/>
          <w:kern w:val="2"/>
        </w:rPr>
      </w:pPr>
      <w:hyperlink w:anchor="_Toc229834712" w:history="1">
        <w:r w:rsidR="002F2431" w:rsidRPr="002D2834">
          <w:rPr>
            <w:rStyle w:val="Hipervnculo"/>
            <w:rFonts w:cstheme="minorHAnsi"/>
            <w:noProof/>
          </w:rPr>
          <w:t>Figura 7. Tasa de letalidad por año en pandemia COVID-19</w:t>
        </w:r>
        <w:r w:rsidR="002F2431" w:rsidRPr="002D2834">
          <w:rPr>
            <w:noProof/>
            <w:webHidden/>
          </w:rPr>
          <w:tab/>
        </w:r>
        <w:r w:rsidR="002F2431" w:rsidRPr="002D2834">
          <w:rPr>
            <w:noProof/>
            <w:webHidden/>
          </w:rPr>
          <w:fldChar w:fldCharType="begin"/>
        </w:r>
        <w:r w:rsidR="002F2431" w:rsidRPr="002D2834">
          <w:rPr>
            <w:noProof/>
            <w:webHidden/>
          </w:rPr>
          <w:instrText xml:space="preserve"> PAGEREF _Toc229834712 \h </w:instrText>
        </w:r>
        <w:r w:rsidR="002F2431" w:rsidRPr="002D2834">
          <w:rPr>
            <w:noProof/>
            <w:webHidden/>
          </w:rPr>
        </w:r>
        <w:r w:rsidR="002F2431" w:rsidRPr="002D2834">
          <w:rPr>
            <w:noProof/>
            <w:webHidden/>
          </w:rPr>
          <w:fldChar w:fldCharType="separate"/>
        </w:r>
        <w:r w:rsidR="002F2431" w:rsidRPr="002D2834">
          <w:rPr>
            <w:noProof/>
            <w:webHidden/>
          </w:rPr>
          <w:t>85</w:t>
        </w:r>
        <w:r w:rsidR="002F2431" w:rsidRPr="002D2834">
          <w:rPr>
            <w:noProof/>
            <w:webHidden/>
          </w:rPr>
          <w:fldChar w:fldCharType="end"/>
        </w:r>
      </w:hyperlink>
    </w:p>
    <w:p w14:paraId="72AA0C61" w14:textId="48014D40" w:rsidR="002F2431" w:rsidRPr="002D2834" w:rsidRDefault="005E39B6">
      <w:pPr>
        <w:pStyle w:val="Tabladeilustraciones"/>
        <w:tabs>
          <w:tab w:val="right" w:leader="dot" w:pos="8828"/>
        </w:tabs>
        <w:rPr>
          <w:rFonts w:eastAsiaTheme="minorEastAsia"/>
          <w:noProof/>
          <w:kern w:val="2"/>
        </w:rPr>
      </w:pPr>
      <w:hyperlink w:anchor="_Toc229834713" w:history="1">
        <w:r w:rsidR="002F2431" w:rsidRPr="002D2834">
          <w:rPr>
            <w:rStyle w:val="Hipervnculo"/>
            <w:rFonts w:cstheme="minorHAnsi"/>
            <w:noProof/>
          </w:rPr>
          <w:t>Figura 8. Pirámide poblacional de centenarios en pandemia COVID-19</w:t>
        </w:r>
        <w:r w:rsidR="002F2431" w:rsidRPr="002D2834">
          <w:rPr>
            <w:noProof/>
            <w:webHidden/>
          </w:rPr>
          <w:tab/>
        </w:r>
        <w:r w:rsidR="002F2431" w:rsidRPr="002D2834">
          <w:rPr>
            <w:noProof/>
            <w:webHidden/>
          </w:rPr>
          <w:fldChar w:fldCharType="begin"/>
        </w:r>
        <w:r w:rsidR="002F2431" w:rsidRPr="002D2834">
          <w:rPr>
            <w:noProof/>
            <w:webHidden/>
          </w:rPr>
          <w:instrText xml:space="preserve"> PAGEREF _Toc229834713 \h </w:instrText>
        </w:r>
        <w:r w:rsidR="002F2431" w:rsidRPr="002D2834">
          <w:rPr>
            <w:noProof/>
            <w:webHidden/>
          </w:rPr>
        </w:r>
        <w:r w:rsidR="002F2431" w:rsidRPr="002D2834">
          <w:rPr>
            <w:noProof/>
            <w:webHidden/>
          </w:rPr>
          <w:fldChar w:fldCharType="separate"/>
        </w:r>
        <w:r w:rsidR="002F2431" w:rsidRPr="002D2834">
          <w:rPr>
            <w:noProof/>
            <w:webHidden/>
          </w:rPr>
          <w:t>86</w:t>
        </w:r>
        <w:r w:rsidR="002F2431" w:rsidRPr="002D2834">
          <w:rPr>
            <w:noProof/>
            <w:webHidden/>
          </w:rPr>
          <w:fldChar w:fldCharType="end"/>
        </w:r>
      </w:hyperlink>
    </w:p>
    <w:p w14:paraId="00A9CF1E" w14:textId="01CF1AFF" w:rsidR="002F2431" w:rsidRPr="002D2834" w:rsidRDefault="005E39B6">
      <w:pPr>
        <w:pStyle w:val="Tabladeilustraciones"/>
        <w:tabs>
          <w:tab w:val="right" w:leader="dot" w:pos="8828"/>
        </w:tabs>
        <w:rPr>
          <w:rFonts w:eastAsiaTheme="minorEastAsia"/>
          <w:noProof/>
          <w:kern w:val="2"/>
        </w:rPr>
      </w:pPr>
      <w:hyperlink w:anchor="_Toc229834714" w:history="1">
        <w:r w:rsidR="002F2431" w:rsidRPr="002D2834">
          <w:rPr>
            <w:rStyle w:val="Hipervnculo"/>
            <w:rFonts w:cstheme="minorHAnsi"/>
            <w:noProof/>
          </w:rPr>
          <w:t>Figura 9. Curva de sobrevida de Kaplan-Meier por género</w:t>
        </w:r>
        <w:r w:rsidR="002F2431" w:rsidRPr="002D2834">
          <w:rPr>
            <w:noProof/>
            <w:webHidden/>
          </w:rPr>
          <w:tab/>
        </w:r>
        <w:r w:rsidR="002F2431" w:rsidRPr="002D2834">
          <w:rPr>
            <w:noProof/>
            <w:webHidden/>
          </w:rPr>
          <w:fldChar w:fldCharType="begin"/>
        </w:r>
        <w:r w:rsidR="002F2431" w:rsidRPr="002D2834">
          <w:rPr>
            <w:noProof/>
            <w:webHidden/>
          </w:rPr>
          <w:instrText xml:space="preserve"> PAGEREF _Toc229834714 \h </w:instrText>
        </w:r>
        <w:r w:rsidR="002F2431" w:rsidRPr="002D2834">
          <w:rPr>
            <w:noProof/>
            <w:webHidden/>
          </w:rPr>
        </w:r>
        <w:r w:rsidR="002F2431" w:rsidRPr="002D2834">
          <w:rPr>
            <w:noProof/>
            <w:webHidden/>
          </w:rPr>
          <w:fldChar w:fldCharType="separate"/>
        </w:r>
        <w:r w:rsidR="002F2431" w:rsidRPr="002D2834">
          <w:rPr>
            <w:noProof/>
            <w:webHidden/>
          </w:rPr>
          <w:t>87</w:t>
        </w:r>
        <w:r w:rsidR="002F2431" w:rsidRPr="002D2834">
          <w:rPr>
            <w:noProof/>
            <w:webHidden/>
          </w:rPr>
          <w:fldChar w:fldCharType="end"/>
        </w:r>
      </w:hyperlink>
    </w:p>
    <w:p w14:paraId="0D7B5857" w14:textId="30361D57" w:rsidR="002F2431" w:rsidRPr="002D2834" w:rsidRDefault="005E39B6">
      <w:pPr>
        <w:pStyle w:val="Tabladeilustraciones"/>
        <w:tabs>
          <w:tab w:val="right" w:leader="dot" w:pos="8828"/>
        </w:tabs>
        <w:rPr>
          <w:rFonts w:eastAsiaTheme="minorEastAsia"/>
          <w:noProof/>
          <w:kern w:val="2"/>
        </w:rPr>
      </w:pPr>
      <w:hyperlink w:anchor="_Toc229834715" w:history="1">
        <w:r w:rsidR="002F2431" w:rsidRPr="002D2834">
          <w:rPr>
            <w:rStyle w:val="Hipervnculo"/>
            <w:rFonts w:cstheme="minorHAnsi"/>
            <w:noProof/>
          </w:rPr>
          <w:t>Figura 10. Curva de sobrevida Kaplan-Meier por edad</w:t>
        </w:r>
        <w:r w:rsidR="002F2431" w:rsidRPr="002D2834">
          <w:rPr>
            <w:noProof/>
            <w:webHidden/>
          </w:rPr>
          <w:tab/>
        </w:r>
        <w:r w:rsidR="002F2431" w:rsidRPr="002D2834">
          <w:rPr>
            <w:noProof/>
            <w:webHidden/>
          </w:rPr>
          <w:fldChar w:fldCharType="begin"/>
        </w:r>
        <w:r w:rsidR="002F2431" w:rsidRPr="002D2834">
          <w:rPr>
            <w:noProof/>
            <w:webHidden/>
          </w:rPr>
          <w:instrText xml:space="preserve"> PAGEREF _Toc229834715 \h </w:instrText>
        </w:r>
        <w:r w:rsidR="002F2431" w:rsidRPr="002D2834">
          <w:rPr>
            <w:noProof/>
            <w:webHidden/>
          </w:rPr>
        </w:r>
        <w:r w:rsidR="002F2431" w:rsidRPr="002D2834">
          <w:rPr>
            <w:noProof/>
            <w:webHidden/>
          </w:rPr>
          <w:fldChar w:fldCharType="separate"/>
        </w:r>
        <w:r w:rsidR="002F2431" w:rsidRPr="002D2834">
          <w:rPr>
            <w:noProof/>
            <w:webHidden/>
          </w:rPr>
          <w:t>88</w:t>
        </w:r>
        <w:r w:rsidR="002F2431" w:rsidRPr="002D2834">
          <w:rPr>
            <w:noProof/>
            <w:webHidden/>
          </w:rPr>
          <w:fldChar w:fldCharType="end"/>
        </w:r>
      </w:hyperlink>
    </w:p>
    <w:p w14:paraId="4FF8BC0D" w14:textId="2D4A7CFA" w:rsidR="002F2431" w:rsidRPr="002D2834" w:rsidRDefault="005E39B6">
      <w:pPr>
        <w:pStyle w:val="Tabladeilustraciones"/>
        <w:tabs>
          <w:tab w:val="right" w:leader="dot" w:pos="8828"/>
        </w:tabs>
        <w:rPr>
          <w:rFonts w:eastAsiaTheme="minorEastAsia"/>
          <w:noProof/>
          <w:kern w:val="2"/>
        </w:rPr>
      </w:pPr>
      <w:hyperlink w:anchor="_Toc229834716" w:history="1">
        <w:r w:rsidR="002F2431" w:rsidRPr="002D2834">
          <w:rPr>
            <w:rStyle w:val="Hipervnculo"/>
            <w:rFonts w:cstheme="minorHAnsi"/>
            <w:noProof/>
          </w:rPr>
          <w:t>Figura 11. Mapa de casos de COVID-19 en centenarios por categoría de municipios</w:t>
        </w:r>
        <w:r w:rsidR="002F2431" w:rsidRPr="002D2834">
          <w:rPr>
            <w:noProof/>
            <w:webHidden/>
          </w:rPr>
          <w:tab/>
        </w:r>
        <w:r w:rsidR="002F2431" w:rsidRPr="002D2834">
          <w:rPr>
            <w:noProof/>
            <w:webHidden/>
          </w:rPr>
          <w:fldChar w:fldCharType="begin"/>
        </w:r>
        <w:r w:rsidR="002F2431" w:rsidRPr="002D2834">
          <w:rPr>
            <w:noProof/>
            <w:webHidden/>
          </w:rPr>
          <w:instrText xml:space="preserve"> PAGEREF _Toc229834716 \h </w:instrText>
        </w:r>
        <w:r w:rsidR="002F2431" w:rsidRPr="002D2834">
          <w:rPr>
            <w:noProof/>
            <w:webHidden/>
          </w:rPr>
        </w:r>
        <w:r w:rsidR="002F2431" w:rsidRPr="002D2834">
          <w:rPr>
            <w:noProof/>
            <w:webHidden/>
          </w:rPr>
          <w:fldChar w:fldCharType="separate"/>
        </w:r>
        <w:r w:rsidR="002F2431" w:rsidRPr="002D2834">
          <w:rPr>
            <w:noProof/>
            <w:webHidden/>
          </w:rPr>
          <w:t>91</w:t>
        </w:r>
        <w:r w:rsidR="002F2431" w:rsidRPr="002D2834">
          <w:rPr>
            <w:noProof/>
            <w:webHidden/>
          </w:rPr>
          <w:fldChar w:fldCharType="end"/>
        </w:r>
      </w:hyperlink>
    </w:p>
    <w:p w14:paraId="208017F4" w14:textId="145317C7" w:rsidR="00C931AE" w:rsidRPr="002D2834" w:rsidRDefault="00C931AE">
      <w:r w:rsidRPr="002D2834">
        <w:fldChar w:fldCharType="end"/>
      </w:r>
    </w:p>
    <w:p w14:paraId="75035564" w14:textId="65394DC4" w:rsidR="008A56E2" w:rsidRPr="00C316F8" w:rsidRDefault="00A610FC" w:rsidP="002B0A96">
      <w:pPr>
        <w:pStyle w:val="Ttulo1"/>
        <w:rPr>
          <w:lang w:val="es-CO"/>
        </w:rPr>
      </w:pPr>
      <w:r w:rsidRPr="00C316F8">
        <w:rPr>
          <w:bCs/>
          <w:lang w:val="es-CO"/>
        </w:rPr>
        <w:br w:type="page"/>
      </w:r>
      <w:bookmarkStart w:id="5" w:name="_Toc229834627"/>
      <w:r w:rsidR="002B0A96" w:rsidRPr="00C316F8">
        <w:rPr>
          <w:lang w:val="es-CO"/>
        </w:rPr>
        <w:lastRenderedPageBreak/>
        <w:t>P</w:t>
      </w:r>
      <w:r w:rsidR="008A56E2" w:rsidRPr="00C316F8">
        <w:rPr>
          <w:lang w:val="es-CO"/>
        </w:rPr>
        <w:t>ARTE I. FUNDAMENTOS DEL ESTUDIO</w:t>
      </w:r>
      <w:bookmarkEnd w:id="5"/>
    </w:p>
    <w:p w14:paraId="34C3B2ED" w14:textId="08DF2E64" w:rsidR="00604DBA" w:rsidRPr="00C316F8" w:rsidRDefault="00124E25" w:rsidP="00B96D9D">
      <w:pPr>
        <w:pStyle w:val="Ttulo1"/>
        <w:numPr>
          <w:ilvl w:val="0"/>
          <w:numId w:val="6"/>
        </w:numPr>
        <w:rPr>
          <w:lang w:val="es-CO"/>
        </w:rPr>
      </w:pPr>
      <w:bookmarkStart w:id="6" w:name="_Toc229834628"/>
      <w:r w:rsidRPr="00C316F8">
        <w:rPr>
          <w:lang w:val="es-CO"/>
        </w:rPr>
        <w:t>INTRODUCCIÓ</w:t>
      </w:r>
      <w:r w:rsidR="00665A9A" w:rsidRPr="00C316F8">
        <w:rPr>
          <w:lang w:val="es-CO"/>
        </w:rPr>
        <w:t>N</w:t>
      </w:r>
      <w:bookmarkEnd w:id="6"/>
    </w:p>
    <w:p w14:paraId="7C6FE2D9" w14:textId="77777777" w:rsidR="008A56E2" w:rsidRPr="00C316F8" w:rsidRDefault="008A56E2" w:rsidP="008A56E2">
      <w:pPr>
        <w:rPr>
          <w:lang w:val="es-CO"/>
        </w:rPr>
      </w:pPr>
    </w:p>
    <w:p w14:paraId="0E288274" w14:textId="43216160" w:rsidR="00AD3754" w:rsidRPr="00C316F8" w:rsidRDefault="00AD3754" w:rsidP="003B711F">
      <w:pPr>
        <w:jc w:val="both"/>
        <w:rPr>
          <w:sz w:val="24"/>
          <w:szCs w:val="24"/>
          <w:lang w:val="es-CO"/>
        </w:rPr>
      </w:pPr>
      <w:r w:rsidRPr="00C316F8">
        <w:rPr>
          <w:sz w:val="24"/>
          <w:szCs w:val="24"/>
          <w:lang w:val="es-CO"/>
        </w:rPr>
        <w:t>Durante la última década, Colombia ha sido escenario de profundas tensiones sanitarias que han puesto a prueba la resiliencia de su sistema de salud y de su población. La pandemia de COVID-19 no solo desató una crisis sin precedentes, sino que reveló las fracturas estructurales que atraviesan al país: la desigualdad territorial en el acceso a bienes públicos, la exclusión histórica de comunidades étnicas y la debilidad institucional en los territorios más vulnerables. Comprender cómo estas fracturas determinaron quién vivió y quién murió durante la pandemia exige herramientas analíticas que integren dimensiones sociales, territoriales y demográficas — y ese es el propósito central de esta investigación.</w:t>
      </w:r>
    </w:p>
    <w:p w14:paraId="0B8340B9" w14:textId="2CEE2D9B" w:rsidR="00197550" w:rsidRPr="00C316F8" w:rsidRDefault="00F15E57" w:rsidP="003B711F">
      <w:pPr>
        <w:jc w:val="both"/>
        <w:rPr>
          <w:rFonts w:cstheme="minorHAnsi"/>
          <w:sz w:val="24"/>
          <w:szCs w:val="24"/>
          <w:lang w:val="es-CO"/>
        </w:rPr>
      </w:pPr>
      <w:r w:rsidRPr="00C316F8">
        <w:rPr>
          <w:rFonts w:cstheme="minorHAnsi"/>
          <w:sz w:val="24"/>
          <w:szCs w:val="24"/>
          <w:lang w:val="es-CO"/>
        </w:rPr>
        <w:t xml:space="preserve">La pandemia de COVID-19, declarada emergencia sanitaria global por la Organización Mundial de la Salud (OMS) en marzo de 2020 </w:t>
      </w:r>
      <w:r w:rsidR="00961D28" w:rsidRPr="00C316F8">
        <w:rPr>
          <w:rFonts w:cstheme="minorHAnsi"/>
          <w:sz w:val="24"/>
          <w:szCs w:val="24"/>
          <w:lang w:val="es-CO"/>
        </w:rPr>
        <w:fldChar w:fldCharType="begin"/>
      </w:r>
      <w:r w:rsidR="00961D28" w:rsidRPr="00C316F8">
        <w:rPr>
          <w:rFonts w:cstheme="minorHAnsi"/>
          <w:sz w:val="24"/>
          <w:szCs w:val="24"/>
          <w:lang w:val="es-CO"/>
        </w:rPr>
        <w:instrText xml:space="preserve"> ADDIN ZOTERO_ITEM CSL_CITATION {"citationID":"rZmGEGV3","properties":{"formattedCitation":"(1)","plainCitation":"(1)","noteIndex":0},"citationItems":[{"id":1747,"uris":["http://zotero.org/users/5785509/items/UCY34V8P"],"itemData":{"id":1747,"type":"webpage","title":"Colombia confirma su primer caso de COVID-19","URL":"https://www.minsalud.gov.co/Paginas/Colombia-confirma-su-primer-caso-de-COVID-19.aspx","accessed":{"date-parts":[["2025",5,18]]}}}],"schema":"https://github.com/citation-style-language/schema/raw/master/csl-citation.json"} </w:instrText>
      </w:r>
      <w:r w:rsidR="00961D28" w:rsidRPr="00C316F8">
        <w:rPr>
          <w:rFonts w:cstheme="minorHAnsi"/>
          <w:sz w:val="24"/>
          <w:szCs w:val="24"/>
          <w:lang w:val="es-CO"/>
        </w:rPr>
        <w:fldChar w:fldCharType="separate"/>
      </w:r>
      <w:r w:rsidR="00961D28" w:rsidRPr="00C316F8">
        <w:rPr>
          <w:rFonts w:ascii="Calibri" w:hAnsi="Calibri" w:cs="Calibri"/>
          <w:sz w:val="24"/>
          <w:lang w:val="es-CO"/>
        </w:rPr>
        <w:t>(1)</w:t>
      </w:r>
      <w:r w:rsidR="00961D28" w:rsidRPr="00C316F8">
        <w:rPr>
          <w:rFonts w:cstheme="minorHAnsi"/>
          <w:sz w:val="24"/>
          <w:szCs w:val="24"/>
          <w:lang w:val="es-CO"/>
        </w:rPr>
        <w:fldChar w:fldCharType="end"/>
      </w:r>
      <w:r w:rsidR="00197550" w:rsidRPr="00C316F8">
        <w:rPr>
          <w:rFonts w:cstheme="minorHAnsi"/>
          <w:sz w:val="24"/>
          <w:szCs w:val="24"/>
          <w:lang w:val="es-CO"/>
        </w:rPr>
        <w:t xml:space="preserve">, </w:t>
      </w:r>
      <w:r w:rsidR="00984577" w:rsidRPr="00C316F8">
        <w:rPr>
          <w:rFonts w:cstheme="minorHAnsi"/>
          <w:sz w:val="24"/>
          <w:szCs w:val="24"/>
          <w:lang w:val="es-CO"/>
        </w:rPr>
        <w:t>tuvo efectos desproporcionados sobre poblaciones socialmente vulnerables, especialmente en países de ingresos medios como Colombia. El virus no afectó a todos por igual: su impacto fue más letal en los territorios históricamente excluidos, entre comunidades étnicas marginadas, personas mayores y, en particular, la población centenaria</w:t>
      </w:r>
      <w:r w:rsidR="00D46F54" w:rsidRPr="00C316F8">
        <w:rPr>
          <w:rFonts w:cstheme="minorHAnsi"/>
          <w:sz w:val="24"/>
          <w:szCs w:val="24"/>
          <w:lang w:val="es-CO"/>
        </w:rPr>
        <w:t xml:space="preserve"> un</w:t>
      </w:r>
      <w:r w:rsidR="00984577" w:rsidRPr="00C316F8">
        <w:rPr>
          <w:rFonts w:cstheme="minorHAnsi"/>
          <w:sz w:val="24"/>
          <w:szCs w:val="24"/>
          <w:lang w:val="es-CO"/>
        </w:rPr>
        <w:t xml:space="preserve"> grupo de máxima vulnerabilidad biológica y social. En este contexto, la presente tesis analiza los determinantes estructurales de la mortalidad por COVID-19 en Colombia a través de tres estudios originales que examinan, en escala creciente de especificidad, las intersecciones entre pobreza multidimensional, desigualdad territorial, etnicidad y longevidad extrema.</w:t>
      </w:r>
    </w:p>
    <w:p w14:paraId="4556BAC6" w14:textId="6F4BC65D" w:rsidR="00197550" w:rsidRPr="00C316F8" w:rsidRDefault="00197550" w:rsidP="003B711F">
      <w:pPr>
        <w:jc w:val="both"/>
        <w:rPr>
          <w:rFonts w:cstheme="minorHAnsi"/>
          <w:sz w:val="24"/>
          <w:szCs w:val="24"/>
          <w:lang w:val="es-CO"/>
        </w:rPr>
      </w:pPr>
      <w:r w:rsidRPr="00C316F8">
        <w:rPr>
          <w:rFonts w:cstheme="minorHAnsi"/>
          <w:sz w:val="24"/>
          <w:szCs w:val="24"/>
          <w:lang w:val="es-CO"/>
        </w:rPr>
        <w:t xml:space="preserve">Diversos estudios han documentado que la pobreza es uno de los principales predictores de mortalidad por COVID-19. En México, se demostró que la pobreza disminuye las probabilidades de supervivencia ante el virus </w:t>
      </w:r>
      <w:r w:rsidR="00435BC3" w:rsidRPr="00C316F8">
        <w:rPr>
          <w:rFonts w:cstheme="minorHAnsi"/>
          <w:sz w:val="24"/>
          <w:szCs w:val="24"/>
          <w:lang w:val="es-CO"/>
        </w:rPr>
        <w:fldChar w:fldCharType="begin"/>
      </w:r>
      <w:r w:rsidR="00CD2033" w:rsidRPr="00C316F8">
        <w:rPr>
          <w:rFonts w:cstheme="minorHAnsi"/>
          <w:sz w:val="24"/>
          <w:szCs w:val="24"/>
          <w:lang w:val="es-CO"/>
        </w:rPr>
        <w:instrText xml:space="preserve"> ADDIN ZOTERO_ITEM CSL_CITATION {"citationID":"HUTKSfR3","properties":{"formattedCitation":"(2)","plainCitation":"(2)","noteIndex":0},"citationItems":[{"id":1464,"uris":["http://zotero.org/users/5785509/items/3DGXYAHK"],"itemData":{"id":1464,"type":"article-journal","container-title":"Journal of public health","ISSN":"1741-3842","issue":"3","journalAbbreviation":"Journal of public health","page":"437-444","publisher":"Oxford University Press","title":"Poverty and survival from COVID-19 in Mexico","volume":"43","author":[{"family":"Millán-Guerrero","given":"Rebeca Olivia"},{"family":"Caballero-Hoyos","given":"Ramiro"},{"family":"Monárrez-Espino","given":"Joel"}],"issued":{"date-parts":[["2021"]]}}}],"schema":"https://github.com/citation-style-language/schema/raw/master/csl-citation.json"} </w:instrText>
      </w:r>
      <w:r w:rsidR="00435BC3" w:rsidRPr="00C316F8">
        <w:rPr>
          <w:rFonts w:cstheme="minorHAnsi"/>
          <w:sz w:val="24"/>
          <w:szCs w:val="24"/>
          <w:lang w:val="es-CO"/>
        </w:rPr>
        <w:fldChar w:fldCharType="separate"/>
      </w:r>
      <w:r w:rsidR="00961D28" w:rsidRPr="00C316F8">
        <w:rPr>
          <w:rFonts w:ascii="Calibri" w:hAnsi="Calibri" w:cs="Calibri"/>
          <w:sz w:val="24"/>
          <w:lang w:val="es-CO"/>
        </w:rPr>
        <w:t>(2)</w:t>
      </w:r>
      <w:r w:rsidR="00435BC3" w:rsidRPr="00C316F8">
        <w:rPr>
          <w:rFonts w:cstheme="minorHAnsi"/>
          <w:sz w:val="24"/>
          <w:szCs w:val="24"/>
          <w:lang w:val="es-CO"/>
        </w:rPr>
        <w:fldChar w:fldCharType="end"/>
      </w:r>
      <w:r w:rsidRPr="00C316F8">
        <w:rPr>
          <w:rFonts w:cstheme="minorHAnsi"/>
          <w:sz w:val="24"/>
          <w:szCs w:val="24"/>
          <w:lang w:val="es-CO"/>
        </w:rPr>
        <w:t>. En Colombia, estas desigualdades han sido evidenciadas también por Cifuentes et al.</w:t>
      </w:r>
      <w:r w:rsidR="00435BC3" w:rsidRPr="00C316F8">
        <w:rPr>
          <w:rFonts w:cstheme="minorHAnsi"/>
          <w:sz w:val="24"/>
          <w:szCs w:val="24"/>
          <w:lang w:val="es-CO"/>
        </w:rPr>
        <w:t xml:space="preserve"> </w:t>
      </w:r>
      <w:r w:rsidR="00435BC3" w:rsidRPr="00C316F8">
        <w:rPr>
          <w:rFonts w:cstheme="minorHAnsi"/>
          <w:sz w:val="24"/>
          <w:szCs w:val="24"/>
          <w:lang w:val="es-CO"/>
        </w:rPr>
        <w:fldChar w:fldCharType="begin"/>
      </w:r>
      <w:r w:rsidR="00CD2033" w:rsidRPr="00C316F8">
        <w:rPr>
          <w:rFonts w:cstheme="minorHAnsi"/>
          <w:sz w:val="24"/>
          <w:szCs w:val="24"/>
          <w:lang w:val="es-CO"/>
        </w:rPr>
        <w:instrText xml:space="preserve"> ADDIN ZOTERO_ITEM CSL_CITATION {"citationID":"liOfHXjT","properties":{"formattedCitation":"(3)","plainCitation":"(3)","noteIndex":0},"citationItems":[{"id":94,"uris":["http://zotero.org/users/5785509/items/RGC7RPXF"],"itemData":{"id":94,"type":"article-journal","abstract":"Background\n              After 8 months of the COVID-19 pandemic, Latin American countries have some of the highest rates in COVID-19 mortality. Despite being one of the most unequal regions of the world, there is a scarce report of the effect of socioeconomic conditions on COVID-19 mortality in their countries. We aimed to identify the effect of some socioeconomic inequality-related factors on COVID-19 mortality in Colombia.\n            \n            \n              Methods\n              We conducted a survival analysis in a nation-wide retrospective cohort study of confirmed cases of COVID-19 in Colombia from 2 March 2020 to 26 October 2020. We calculated the time to death or recovery for each confirmed case in the cohort. We used an extended multivariable time-dependent Cox regression model to estimate the HR by age groups, sex, ethnicity, type of health insurance, area of residence and socioeconomic strata.\n            \n            \n              Results\n              There were 1 033 218 confirmed cases and 30 565 deaths for COVID-19 in Colombia between 2 March and 26 October. The risk of dying for COVID-19 among confirmed cases was higher in males (HR 1.68 95% CI 1.64 to 1.72), in people older than 60 years (HR 296.58 95% CI 199.22 to 441.51), in indigenous people (HR 1.20 95% CI 1.08 to 1.33), in people with subsidised health insurance regime (HR 1.89 95% CI 1.83 to 1.96) and in people living in the very low socioeconomic strata (HR 1.44 95% CI 1.24 to 1.68).\n            \n            \n              Conclusion\n              Our study provides evidence of socioeconomic inequalities in COVID-19 mortality in terms of age groups, sex, ethnicity, type of health insurance regimen and socioeconomic status.","container-title":"Journal of Epidemiology and Community Health","DOI":"10.1136/jech-2020-216275","ISSN":"0143-005X, 1470-2738","issue":"7","journalAbbreviation":"J Epidemiol Community Health","language":"en","page":"610-615","source":"DOI.org (Crossref)","title":"Socioeconomic inequalities associated with mortality for COVID-19 in Colombia: a cohort nationwide study","title-short":"Socioeconomic inequalities associated with mortality for COVID-19 in Colombia","URL":"https://jech.bmj.com/lookup/doi/10.1136/jech-2020-216275","volume":"75","author":[{"family":"Cifuentes","given":"Myriam Patricia"},{"family":"Rodriguez-Villamizar","given":"Laura Andrea"},{"family":"Rojas-Botero","given":"Maylen Liseth"},{"family":"Alvarez-Moreno","given":"Carlos Arturo"},{"family":"Fernández-Niño","given":"Julián Alfredo"}],"accessed":{"date-parts":[["2022",2,7]]},"issued":{"date-parts":[["2021",7]]}}}],"schema":"https://github.com/citation-style-language/schema/raw/master/csl-citation.json"} </w:instrText>
      </w:r>
      <w:r w:rsidR="00435BC3" w:rsidRPr="00C316F8">
        <w:rPr>
          <w:rFonts w:cstheme="minorHAnsi"/>
          <w:sz w:val="24"/>
          <w:szCs w:val="24"/>
          <w:lang w:val="es-CO"/>
        </w:rPr>
        <w:fldChar w:fldCharType="separate"/>
      </w:r>
      <w:r w:rsidR="00961D28" w:rsidRPr="00C316F8">
        <w:rPr>
          <w:rFonts w:ascii="Calibri" w:hAnsi="Calibri" w:cs="Calibri"/>
          <w:sz w:val="24"/>
          <w:lang w:val="es-CO"/>
        </w:rPr>
        <w:t>(3)</w:t>
      </w:r>
      <w:r w:rsidR="00435BC3" w:rsidRPr="00C316F8">
        <w:rPr>
          <w:rFonts w:cstheme="minorHAnsi"/>
          <w:sz w:val="24"/>
          <w:szCs w:val="24"/>
          <w:lang w:val="es-CO"/>
        </w:rPr>
        <w:fldChar w:fldCharType="end"/>
      </w:r>
      <w:r w:rsidRPr="00C316F8">
        <w:rPr>
          <w:rFonts w:cstheme="minorHAnsi"/>
          <w:sz w:val="24"/>
          <w:szCs w:val="24"/>
          <w:lang w:val="es-CO"/>
        </w:rPr>
        <w:t>, quienes describen una clara asociación entre condiciones socioeconómicas precarias y mortalidad. Adicionalmente, la exclusión étnica estructural en territorios afrodescendientes e indígenas limita el acceso efectivo a servicios públicos esenciales</w:t>
      </w:r>
      <w:r w:rsidR="00435BC3" w:rsidRPr="00C316F8">
        <w:rPr>
          <w:rFonts w:cstheme="minorHAnsi"/>
          <w:sz w:val="24"/>
          <w:szCs w:val="24"/>
          <w:lang w:val="es-CO"/>
        </w:rPr>
        <w:t xml:space="preserve"> </w:t>
      </w:r>
      <w:r w:rsidR="00C348EB" w:rsidRPr="00C316F8">
        <w:rPr>
          <w:rFonts w:cstheme="minorHAnsi"/>
          <w:sz w:val="24"/>
          <w:szCs w:val="24"/>
          <w:lang w:val="es-CO"/>
        </w:rPr>
        <w:fldChar w:fldCharType="begin"/>
      </w:r>
      <w:r w:rsidR="00CD2033" w:rsidRPr="00C316F8">
        <w:rPr>
          <w:rFonts w:cstheme="minorHAnsi"/>
          <w:sz w:val="24"/>
          <w:szCs w:val="24"/>
          <w:lang w:val="es-CO"/>
        </w:rPr>
        <w:instrText xml:space="preserve"> ADDIN ZOTERO_ITEM CSL_CITATION {"citationID":"CaGFLYmi","properties":{"formattedCitation":"(4,5)","plainCitation":"(4,5)","noteIndex":0},"citationItems":[{"id":34,"uris":["http://zotero.org/users/5785509/items/M97V5UP4"],"itemData":{"id":34,"type":"article-journal","container-title":"JAMA","DOI":"10.1001/jama.2020.8598","ISSN":"0098-7484","issue":"24","journalAbbreviation":"JAMA","language":"en","page":"2466","source":"DOI.org (Crossref)","title":"COVID-19 and Racial/Ethnic Disparities","URL":"https://jamanetwork.com/journals/jama/fullarticle/2766098","volume":"323","author":[{"family":"Webb Hooper","given":"Monica"},{"family":"Nápoles","given":"Anna María"},{"family":"Pérez-Stable","given":"Eliseo J."}],"accessed":{"date-parts":[["2022",2,27]]},"issued":{"date-parts":[["2020",6,23]]}}},{"id":52,"uris":["http://zotero.org/users/5785509/items/4K5I5LNQ"],"itemData":{"id":52,"type":"article-journal","container-title":"Social Science &amp; Medicine","DOI":"10.1016/j.socscimed.2004.04.026","ISSN":"02779536","issue":"1","journalAbbreviation":"Social Science &amp; Medicine","language":"en","page":"191-204","source":"DOI.org (Crossref)","title":"Are racial disparities in health conditional on socioeconomic status?","URL":"https://linkinghub.elsevier.com/retrieve/pii/S0277953604002072","volume":"60","author":[{"family":"Farmer","given":"Melissa M."},{"family":"Ferraro","given":"Kenneth F."}],"accessed":{"date-parts":[["2022",2,22]]},"issued":{"date-parts":[["2005",1]]}}}],"schema":"https://github.com/citation-style-language/schema/raw/master/csl-citation.json"} </w:instrText>
      </w:r>
      <w:r w:rsidR="00C348EB" w:rsidRPr="00C316F8">
        <w:rPr>
          <w:rFonts w:cstheme="minorHAnsi"/>
          <w:sz w:val="24"/>
          <w:szCs w:val="24"/>
          <w:lang w:val="es-CO"/>
        </w:rPr>
        <w:fldChar w:fldCharType="separate"/>
      </w:r>
      <w:r w:rsidR="00961D28" w:rsidRPr="00C316F8">
        <w:rPr>
          <w:rFonts w:ascii="Calibri" w:hAnsi="Calibri" w:cs="Calibri"/>
          <w:sz w:val="24"/>
          <w:lang w:val="es-CO"/>
        </w:rPr>
        <w:t>(4,5)</w:t>
      </w:r>
      <w:r w:rsidR="00C348EB" w:rsidRPr="00C316F8">
        <w:rPr>
          <w:rFonts w:cstheme="minorHAnsi"/>
          <w:sz w:val="24"/>
          <w:szCs w:val="24"/>
          <w:lang w:val="es-CO"/>
        </w:rPr>
        <w:fldChar w:fldCharType="end"/>
      </w:r>
      <w:r w:rsidRPr="00C316F8">
        <w:rPr>
          <w:rFonts w:cstheme="minorHAnsi"/>
          <w:sz w:val="24"/>
          <w:szCs w:val="24"/>
          <w:lang w:val="es-CO"/>
        </w:rPr>
        <w:t>, mientras que el conflicto armado ha deteriorado las capacidades institucionales para garantizar la atención sanitaria</w:t>
      </w:r>
      <w:r w:rsidR="009617C4" w:rsidRPr="00C316F8">
        <w:rPr>
          <w:rFonts w:cstheme="minorHAnsi"/>
          <w:sz w:val="24"/>
          <w:szCs w:val="24"/>
          <w:lang w:val="es-CO"/>
        </w:rPr>
        <w:t xml:space="preserve"> </w:t>
      </w:r>
      <w:r w:rsidR="009617C4" w:rsidRPr="00C316F8">
        <w:rPr>
          <w:rFonts w:cstheme="minorHAnsi"/>
          <w:sz w:val="24"/>
          <w:szCs w:val="24"/>
          <w:lang w:val="es-CO"/>
        </w:rPr>
        <w:fldChar w:fldCharType="begin"/>
      </w:r>
      <w:r w:rsidR="00CD2033" w:rsidRPr="00C316F8">
        <w:rPr>
          <w:rFonts w:cstheme="minorHAnsi"/>
          <w:sz w:val="24"/>
          <w:szCs w:val="24"/>
          <w:lang w:val="es-CO"/>
        </w:rPr>
        <w:instrText xml:space="preserve"> ADDIN ZOTERO_ITEM CSL_CITATION {"citationID":"5bvTavz2","properties":{"formattedCitation":"(6)","plainCitation":"(6)","noteIndex":0},"citationItems":[{"id":1723,"uris":["http://zotero.org/users/5785509/items/J7FWZHCA"],"itemData":{"id":1723,"type":"article-journal","container-title":"World Development","DOI":"10.1016/j.worlddev.2020.105355","ISSN":"0305750X","journalAbbreviation":"World Development","language":"en","page":"105355","source":"DOI.org (Crossref)","title":"COVID-19 and armed conflict","URL":"https://linkinghub.elsevier.com/retrieve/pii/S0305750X20304836","volume":"140","author":[{"family":"Ide","given":"Tobias"}],"accessed":{"date-parts":[["2025",4,18]]},"issued":{"date-parts":[["2021",4]]}}}],"schema":"https://github.com/citation-style-language/schema/raw/master/csl-citation.json"} </w:instrText>
      </w:r>
      <w:r w:rsidR="009617C4" w:rsidRPr="00C316F8">
        <w:rPr>
          <w:rFonts w:cstheme="minorHAnsi"/>
          <w:sz w:val="24"/>
          <w:szCs w:val="24"/>
          <w:lang w:val="es-CO"/>
        </w:rPr>
        <w:fldChar w:fldCharType="separate"/>
      </w:r>
      <w:r w:rsidR="00961D28" w:rsidRPr="00C316F8">
        <w:rPr>
          <w:rFonts w:ascii="Calibri" w:hAnsi="Calibri" w:cs="Calibri"/>
          <w:sz w:val="24"/>
          <w:lang w:val="es-CO"/>
        </w:rPr>
        <w:t>(6)</w:t>
      </w:r>
      <w:r w:rsidR="009617C4" w:rsidRPr="00C316F8">
        <w:rPr>
          <w:rFonts w:cstheme="minorHAnsi"/>
          <w:sz w:val="24"/>
          <w:szCs w:val="24"/>
          <w:lang w:val="es-CO"/>
        </w:rPr>
        <w:fldChar w:fldCharType="end"/>
      </w:r>
      <w:r w:rsidRPr="00C316F8">
        <w:rPr>
          <w:rFonts w:cstheme="minorHAnsi"/>
          <w:sz w:val="24"/>
          <w:szCs w:val="24"/>
          <w:lang w:val="es-CO"/>
        </w:rPr>
        <w:t>.</w:t>
      </w:r>
    </w:p>
    <w:p w14:paraId="1A96B4F7" w14:textId="3E6A2597" w:rsidR="00A91AAF" w:rsidRPr="00C316F8" w:rsidRDefault="0059770D" w:rsidP="00A91AAF">
      <w:pPr>
        <w:jc w:val="both"/>
        <w:rPr>
          <w:rFonts w:eastAsia="Times New Roman" w:cstheme="minorHAnsi"/>
          <w:sz w:val="24"/>
          <w:szCs w:val="24"/>
          <w:lang w:val="es-CO" w:eastAsia="es-CO"/>
          <w14:ligatures w14:val="none"/>
        </w:rPr>
      </w:pPr>
      <w:r w:rsidRPr="00C316F8">
        <w:rPr>
          <w:rFonts w:eastAsia="Times New Roman" w:cstheme="minorHAnsi"/>
          <w:sz w:val="24"/>
          <w:szCs w:val="24"/>
          <w:lang w:val="es-CO" w:eastAsia="es-CO"/>
          <w14:ligatures w14:val="none"/>
        </w:rPr>
        <w:t xml:space="preserve">A pesar de las diferencias en población y escala de análisis, los tres estudios comparten un eje explicativo central: la desigualdad en la distribución territorial de los bienes públicos —salud, educación, infraestructura sanitaria— determina diferencialmente la capacidad de las poblaciones para resistir una emergencia sanitaria. Esta desigualdad no es aleatoria sino históricamente acumulada: opera a través de tres mecanismos complementarios que los estudios examinan en secuencia. El primero identifica el patrón espacial de la mortalidad y su correlación con la pobreza multidimensional a escala municipal, estableciendo que la distribución geográfica del riesgo sigue la lógica de la exclusión fiscal y social. El segundo desagrega ese patrón demostrando que la etnicidad y el conflicto armado amplifican el </w:t>
      </w:r>
      <w:r w:rsidRPr="00C316F8">
        <w:rPr>
          <w:rFonts w:eastAsia="Times New Roman" w:cstheme="minorHAnsi"/>
          <w:sz w:val="24"/>
          <w:szCs w:val="24"/>
          <w:lang w:val="es-CO" w:eastAsia="es-CO"/>
          <w14:ligatures w14:val="none"/>
        </w:rPr>
        <w:lastRenderedPageBreak/>
        <w:t>riesgo de muerte independientemente de la pobreza, lo que sugiere mecanismos de exclusión que van más allá de la insuficiencia de ingresos. El tercero lleva el análisis al grupo de mayor vulnerabilidad biológica —la población centenaria— mostrando cómo las condiciones territoriales y sociales se expresan con especial crudeza en el extremo demográfico. El territorio, entendido como espacio donde se acumula o se niega el acceso a bienes públicos esenciales, opera como el eje articulador de los tres estudios.</w:t>
      </w:r>
    </w:p>
    <w:p w14:paraId="781D0FCB" w14:textId="7E7ECBF7" w:rsidR="00627F4A" w:rsidRPr="00C316F8" w:rsidRDefault="00F5684E" w:rsidP="003B711F">
      <w:pPr>
        <w:jc w:val="both"/>
        <w:rPr>
          <w:rFonts w:eastAsia="Times New Roman" w:cstheme="minorHAnsi"/>
          <w:sz w:val="24"/>
          <w:szCs w:val="24"/>
          <w:lang w:val="es-CO" w:eastAsia="es-CO"/>
          <w14:ligatures w14:val="none"/>
        </w:rPr>
      </w:pPr>
      <w:r w:rsidRPr="00C316F8">
        <w:rPr>
          <w:rFonts w:eastAsia="Times New Roman" w:cstheme="minorHAnsi"/>
          <w:sz w:val="24"/>
          <w:szCs w:val="24"/>
          <w:lang w:val="es-CO" w:eastAsia="es-CO"/>
          <w14:ligatures w14:val="none"/>
        </w:rPr>
        <w:t xml:space="preserve">La pobreza multidimensional —operacionalizada mediante el Índice de Pobreza Multidimensional Colombiano (CMPI), construido a partir del método Alkire-Foster— constituye el eje metodológico común de los tres estudios, permitiendo medir en dimensiones observables y cuantificables las privaciones estructurales que condicionaron la mortalidad por COVID-19 en Colombia. </w:t>
      </w:r>
      <w:r w:rsidR="00B50E6F" w:rsidRPr="00C316F8">
        <w:rPr>
          <w:rFonts w:eastAsia="Times New Roman" w:cstheme="minorHAnsi"/>
          <w:sz w:val="24"/>
          <w:szCs w:val="24"/>
          <w:lang w:val="es-CO" w:eastAsia="es-CO"/>
          <w14:ligatures w14:val="none"/>
        </w:rPr>
        <w:fldChar w:fldCharType="begin"/>
      </w:r>
      <w:r w:rsidR="00CD2033" w:rsidRPr="00C316F8">
        <w:rPr>
          <w:rFonts w:eastAsia="Times New Roman" w:cstheme="minorHAnsi"/>
          <w:sz w:val="24"/>
          <w:szCs w:val="24"/>
          <w:lang w:val="es-CO" w:eastAsia="es-CO"/>
          <w14:ligatures w14:val="none"/>
        </w:rPr>
        <w:instrText xml:space="preserve"> ADDIN ZOTERO_ITEM CSL_CITATION {"citationID":"3Wn53NUp","properties":{"formattedCitation":"(7\\uc0\\u8211{}10)","plainCitation":"(7–10)","noteIndex":0},"citationItems":[{"id":497,"uris":["http://zotero.org/users/5785509/items/6M723RS8"],"itemData":{"id":497,"type":"webpage","title":"Colombia | MPPN","URL":"https://mppn.org/es/paises_participantes/colombia/","accessed":{"date-parts":[["2022",4,2]]}}},{"id":1469,"uris":["http://zotero.org/users/5785509/items/5HJ8WB8B"],"itemData":{"id":1469,"type":"article-journal","container-title":"Journal of Public Economics","DOI":"10.1016/j.jpubeco.2010.11.006","ISSN":"00472727","issue":"7-8","journalAbbreviation":"Journal of Public Economics","language":"en","page":"476-487","source":"DOI.org (Crossref)","title":"Counting and multidimensional poverty measurement","URL":"https://linkinghub.elsevier.com/retrieve/pii/S0047272710001660","volume":"95","author":[{"family":"Alkire","given":"Sabina"},{"family":"Foster","given":"James"}],"accessed":{"date-parts":[["2024",3,16]]},"issued":{"date-parts":[["2011",8]]}}},{"id":1482,"uris":["http://zotero.org/users/5785509/items/A7JTQTZZ"],"itemData":{"id":1482,"type":"article-journal","ISSN":"1907194495","publisher":"Oxford Poverty &amp; Human Development Initiative (OPHI)","title":"A counting multidimensional poverty index in public policy context: The case of Colombia","author":[{"family":"Salazar","given":"R"},{"family":"Díaz","given":"Beatriz"},{"family":"Pinzón","given":"R"}],"issued":{"date-parts":[["2013"]]}}},{"id":1471,"uris":["http://zotero.org/users/5785509/items/8PXDL8DP"],"itemData":{"id":1471,"type":"article-journal","container-title":"Social Indicators Research","ISSN":"0303-8300","journalAbbreviation":"Social Indicators Research","page":"1-38","publisher":"Springer","title":"The Colombian multidimensional poverty index: Measuring poverty in a public policy context","volume":"127","author":[{"family":"Angulo","given":"Roberto"},{"family":"Díaz","given":"Yadira"},{"family":"Pardo","given":"Renata"}],"issued":{"date-parts":[["2016"]]}}}],"schema":"https://github.com/citation-style-language/schema/raw/master/csl-citation.json"} </w:instrText>
      </w:r>
      <w:r w:rsidR="00B50E6F" w:rsidRPr="00C316F8">
        <w:rPr>
          <w:rFonts w:eastAsia="Times New Roman" w:cstheme="minorHAnsi"/>
          <w:sz w:val="24"/>
          <w:szCs w:val="24"/>
          <w:lang w:val="es-CO" w:eastAsia="es-CO"/>
          <w14:ligatures w14:val="none"/>
        </w:rPr>
        <w:fldChar w:fldCharType="separate"/>
      </w:r>
      <w:r w:rsidR="00961D28" w:rsidRPr="00C316F8">
        <w:rPr>
          <w:rFonts w:ascii="Calibri" w:hAnsi="Calibri" w:cs="Calibri"/>
          <w:sz w:val="24"/>
          <w:szCs w:val="24"/>
          <w:lang w:val="es-CO"/>
        </w:rPr>
        <w:t>(7–10)</w:t>
      </w:r>
      <w:r w:rsidR="00B50E6F" w:rsidRPr="00C316F8">
        <w:rPr>
          <w:rFonts w:eastAsia="Times New Roman" w:cstheme="minorHAnsi"/>
          <w:sz w:val="24"/>
          <w:szCs w:val="24"/>
          <w:lang w:val="es-CO" w:eastAsia="es-CO"/>
          <w14:ligatures w14:val="none"/>
        </w:rPr>
        <w:fldChar w:fldCharType="end"/>
      </w:r>
      <w:r w:rsidR="00627F4A" w:rsidRPr="00C316F8">
        <w:rPr>
          <w:rFonts w:eastAsia="Times New Roman" w:cstheme="minorHAnsi"/>
          <w:sz w:val="24"/>
          <w:szCs w:val="24"/>
          <w:lang w:val="es-CO" w:eastAsia="es-CO"/>
          <w14:ligatures w14:val="none"/>
        </w:rPr>
        <w:t>.</w:t>
      </w:r>
    </w:p>
    <w:p w14:paraId="21B3AD2B" w14:textId="772CE9AC" w:rsidR="00DD4120" w:rsidRPr="00C316F8" w:rsidRDefault="00D67D1A" w:rsidP="003B711F">
      <w:pPr>
        <w:jc w:val="both"/>
        <w:rPr>
          <w:rFonts w:eastAsia="Times New Roman" w:cstheme="minorHAnsi"/>
          <w:sz w:val="24"/>
          <w:szCs w:val="24"/>
          <w:lang w:val="es-CO" w:eastAsia="es-CO"/>
          <w14:ligatures w14:val="none"/>
        </w:rPr>
      </w:pPr>
      <w:r w:rsidRPr="00C316F8">
        <w:rPr>
          <w:rFonts w:eastAsia="Times New Roman" w:cstheme="minorHAnsi"/>
          <w:sz w:val="24"/>
          <w:szCs w:val="24"/>
          <w:lang w:val="es-CO" w:eastAsia="es-CO"/>
          <w14:ligatures w14:val="none"/>
        </w:rPr>
        <w:t>Los tres estudios convergen en hallazgos estructurales complementarios. El análisis espacial muestra patrones geográficos definidos de mortalidad estrechamente vinculados con la limitada capacidad fiscal de los municipios y la distribución territorial de la pobreza multidimensional. El segundo estudio identifica disparidades significativas en municipios ZOMAC y PDET, donde confluyen pobreza, debilidad institucional y exclusión étnica</w:t>
      </w:r>
      <w:r w:rsidR="008A43C7" w:rsidRPr="00C316F8">
        <w:rPr>
          <w:rFonts w:eastAsia="Times New Roman" w:cstheme="minorHAnsi"/>
          <w:sz w:val="24"/>
          <w:szCs w:val="24"/>
          <w:lang w:val="es-CO" w:eastAsia="es-CO"/>
          <w14:ligatures w14:val="none"/>
        </w:rPr>
        <w:fldChar w:fldCharType="begin"/>
      </w:r>
      <w:r w:rsidR="00CD2033" w:rsidRPr="00C316F8">
        <w:rPr>
          <w:rFonts w:eastAsia="Times New Roman" w:cstheme="minorHAnsi"/>
          <w:sz w:val="24"/>
          <w:szCs w:val="24"/>
          <w:lang w:val="es-CO" w:eastAsia="es-CO"/>
          <w14:ligatures w14:val="none"/>
        </w:rPr>
        <w:instrText xml:space="preserve"> ADDIN ZOTERO_ITEM CSL_CITATION {"citationID":"AL8c2rvr","properties":{"formattedCitation":"(11,12)","plainCitation":"(11,12)","noteIndex":0},"citationItems":[{"id":1468,"uris":["http://zotero.org/users/5785509/items/NL6PRS98"],"itemData":{"id":1468,"type":"article-journal","container-title":"CEPAL Review","ISSN":"1684-0348","issue":"134","journalAbbreviation":"CEPAL Review","page":"33-54","publisher":"United Nations","title":"Ethnicity and social exclusion in Colombia in 2012–2017","volume":"2021","author":[{"family":"Benavides","given":"Edinson Ortiz"},{"family":"Velásquez","given":"José Javier Núñez"}],"issued":{"date-parts":[["2022"]]}}},{"id":464,"uris":["http://zotero.org/users/5785509/items/CQHR7JD3"],"itemData":{"id":464,"type":"article-journal","container-title":"JAMA Internal Medicine","DOI":"10.1001/jamainternmed.2022.1461","ISSN":"2168-6106","journalAbbreviation":"JAMA Intern Med","language":"en","source":"DOI.org (Crossref)","title":"Racial and Ethnic Disparities in Estimated Excess Mortality From External Causes in the US, March to December 2020","URL":"https://jamanetwork.com/journals/jamainternalmedicine/fullarticle/2791682","author":[{"family":"Chen","given":"Ruijia"},{"family":"Aschmann","given":"Hélène E."},{"family":"Chen","given":"Yea-Hung"},{"family":"Glymour","given":"M. Maria"},{"family":"Bibbins-Domingo","given":"Kirsten"},{"family":"Stokes","given":"Andrew C."},{"family":"Kiang","given":"Mathew V."}],"accessed":{"date-parts":[["2022",5,11]]},"issued":{"date-parts":[["2022",5,9]]}}}],"schema":"https://github.com/citation-style-language/schema/raw/master/csl-citation.json"} </w:instrText>
      </w:r>
      <w:r w:rsidR="008A43C7" w:rsidRPr="00C316F8">
        <w:rPr>
          <w:rFonts w:eastAsia="Times New Roman" w:cstheme="minorHAnsi"/>
          <w:sz w:val="24"/>
          <w:szCs w:val="24"/>
          <w:lang w:val="es-CO" w:eastAsia="es-CO"/>
          <w14:ligatures w14:val="none"/>
        </w:rPr>
        <w:fldChar w:fldCharType="separate"/>
      </w:r>
      <w:r w:rsidR="00961D28" w:rsidRPr="00C316F8">
        <w:rPr>
          <w:rFonts w:ascii="Calibri" w:hAnsi="Calibri" w:cs="Calibri"/>
          <w:sz w:val="24"/>
          <w:lang w:val="es-CO"/>
        </w:rPr>
        <w:t>(11,12)</w:t>
      </w:r>
      <w:r w:rsidR="008A43C7" w:rsidRPr="00C316F8">
        <w:rPr>
          <w:rFonts w:eastAsia="Times New Roman" w:cstheme="minorHAnsi"/>
          <w:sz w:val="24"/>
          <w:szCs w:val="24"/>
          <w:lang w:val="es-CO" w:eastAsia="es-CO"/>
          <w14:ligatures w14:val="none"/>
        </w:rPr>
        <w:fldChar w:fldCharType="end"/>
      </w:r>
      <w:r w:rsidR="00040F04" w:rsidRPr="00C316F8">
        <w:rPr>
          <w:rFonts w:eastAsia="Times New Roman" w:cstheme="minorHAnsi"/>
          <w:sz w:val="24"/>
          <w:szCs w:val="24"/>
          <w:lang w:val="es-CO" w:eastAsia="es-CO"/>
          <w14:ligatures w14:val="none"/>
        </w:rPr>
        <w:t>:</w:t>
      </w:r>
      <w:r w:rsidR="00A17D64" w:rsidRPr="00C316F8">
        <w:rPr>
          <w:rFonts w:eastAsia="Times New Roman" w:cstheme="minorHAnsi"/>
          <w:sz w:val="24"/>
          <w:szCs w:val="24"/>
          <w:lang w:val="es-CO" w:eastAsia="es-CO"/>
          <w14:ligatures w14:val="none"/>
        </w:rPr>
        <w:t xml:space="preserve"> </w:t>
      </w:r>
      <w:r w:rsidR="00040F04" w:rsidRPr="00C316F8">
        <w:rPr>
          <w:lang w:val="es-CO"/>
        </w:rPr>
        <w:t xml:space="preserve">afrocolombianos e indígenas presentaron mayor riesgo de muerte que el grupo blanco-mestizo </w:t>
      </w:r>
      <w:r w:rsidR="00A301B7" w:rsidRPr="00C316F8">
        <w:rPr>
          <w:rFonts w:eastAsia="Times New Roman" w:cstheme="minorHAnsi"/>
          <w:sz w:val="24"/>
          <w:szCs w:val="24"/>
          <w:lang w:val="es-CO" w:eastAsia="es-CO"/>
          <w14:ligatures w14:val="none"/>
        </w:rPr>
        <w:fldChar w:fldCharType="begin"/>
      </w:r>
      <w:r w:rsidR="00CD2033" w:rsidRPr="00C316F8">
        <w:rPr>
          <w:rFonts w:eastAsia="Times New Roman" w:cstheme="minorHAnsi"/>
          <w:sz w:val="24"/>
          <w:szCs w:val="24"/>
          <w:lang w:val="es-CO" w:eastAsia="es-CO"/>
          <w14:ligatures w14:val="none"/>
        </w:rPr>
        <w:instrText xml:space="preserve"> ADDIN ZOTERO_ITEM CSL_CITATION {"citationID":"8J4uXlEo","properties":{"formattedCitation":"(13,14)","plainCitation":"(13,14)","noteIndex":0},"citationItems":[{"id":1503,"uris":["http://zotero.org/users/5785509/items/5SAFVVK9"],"itemData":{"id":1503,"type":"article-journal","container-title":"Frontiers in public health","ISSN":"2296-2565","journalAbbreviation":"Frontiers in public health","page":"743003","publisher":"Frontiers","title":"Differential impact of COVID-19 risk factors on ethnicities in the United States","volume":"9","author":[{"family":"Athavale","given":"Prashant"},{"family":"Kumar","given":"Vijay"},{"family":"Clark","given":"Jeremy"},{"family":"Mondal","given":"Sumona"},{"family":"Sur","given":"Shantanu"}],"issued":{"date-parts":[["2021"]]}}},{"id":1506,"uris":["http://zotero.org/users/5785509/items/54UTWRJE"],"itemData":{"id":1506,"type":"article-journal","container-title":"Neurology in migrants and refugees","ISSN":"3030810577","journalAbbreviation":"Neurology in migrants and refugees","page":"153-163","publisher":"Springer","title":"The devastating effects of the COVID-19 pandemic among ethnic minorities, migrants, and refugees","author":[{"family":"Navarro-Román","given":"Lydia"},{"family":"Román","given":"Gustavo C"}],"issued":{"date-parts":[["2022"]]}}}],"schema":"https://github.com/citation-style-language/schema/raw/master/csl-citation.json"} </w:instrText>
      </w:r>
      <w:r w:rsidR="00A301B7" w:rsidRPr="00C316F8">
        <w:rPr>
          <w:rFonts w:eastAsia="Times New Roman" w:cstheme="minorHAnsi"/>
          <w:sz w:val="24"/>
          <w:szCs w:val="24"/>
          <w:lang w:val="es-CO" w:eastAsia="es-CO"/>
          <w14:ligatures w14:val="none"/>
        </w:rPr>
        <w:fldChar w:fldCharType="separate"/>
      </w:r>
      <w:r w:rsidR="00961D28" w:rsidRPr="00C316F8">
        <w:rPr>
          <w:rFonts w:ascii="Calibri" w:hAnsi="Calibri" w:cs="Calibri"/>
          <w:sz w:val="24"/>
          <w:lang w:val="es-CO"/>
        </w:rPr>
        <w:t>(13,14)</w:t>
      </w:r>
      <w:r w:rsidR="00A301B7" w:rsidRPr="00C316F8">
        <w:rPr>
          <w:rFonts w:eastAsia="Times New Roman" w:cstheme="minorHAnsi"/>
          <w:sz w:val="24"/>
          <w:szCs w:val="24"/>
          <w:lang w:val="es-CO" w:eastAsia="es-CO"/>
          <w14:ligatures w14:val="none"/>
        </w:rPr>
        <w:fldChar w:fldCharType="end"/>
      </w:r>
      <w:r w:rsidR="002B5C5E" w:rsidRPr="00C316F8">
        <w:rPr>
          <w:rFonts w:eastAsia="Times New Roman" w:cstheme="minorHAnsi"/>
          <w:sz w:val="24"/>
          <w:szCs w:val="24"/>
          <w:lang w:val="es-CO" w:eastAsia="es-CO"/>
          <w14:ligatures w14:val="none"/>
        </w:rPr>
        <w:t>. El tercero documenta que la población centenaria alcanzó una letalidad del 37,1%, concentrada en municipios de categorías extremas —tanto grandes centros urbanos como territorios rurales marginales—, evidenciando que la edad avanzada y la pertenencia étnica funcionan como amplificadores de las desigualdades en salud, especialmente en contextos de emergencia sanitaria.</w:t>
      </w:r>
    </w:p>
    <w:p w14:paraId="7C092BD0" w14:textId="3731B2BD" w:rsidR="00DD4120" w:rsidRPr="00C316F8" w:rsidRDefault="00DD4120" w:rsidP="003B711F">
      <w:pPr>
        <w:jc w:val="both"/>
        <w:rPr>
          <w:rFonts w:eastAsia="Times New Roman" w:cstheme="minorHAnsi"/>
          <w:sz w:val="24"/>
          <w:szCs w:val="24"/>
          <w:lang w:val="es-CO" w:eastAsia="es-CO"/>
          <w14:ligatures w14:val="none"/>
        </w:rPr>
      </w:pPr>
      <w:r w:rsidRPr="00C316F8">
        <w:rPr>
          <w:rFonts w:eastAsia="Times New Roman" w:cstheme="minorHAnsi"/>
          <w:sz w:val="24"/>
          <w:szCs w:val="24"/>
          <w:lang w:val="es-CO" w:eastAsia="es-CO"/>
          <w14:ligatures w14:val="none"/>
        </w:rPr>
        <w:t xml:space="preserve">Los hallazgos obligan a repensar las políticas públicas en salud desde una perspectiva estructural, interseccional y territorialmente diferenciada. En los municipios ZOMAC y PDET, la pandemia reactivó desigualdades estructurales que no han sido superadas a pesar de los acuerdos de paz, evidenciando la fragilidad del aparato institucional para garantizar el derecho a la salud en contextos históricamente excluidos; la respuesta requiere articular salud pública con desarrollo territorial y reparación histórica. En comunidades indígenas y afrocolombianas, exige un enfoque intercultural que reconozca barreras históricas de acceso. En la población centenaria —cuya supervivencia a la infección ofrece una oportunidad única para investigar mecanismos de resiliencia biológica y social—, </w:t>
      </w:r>
      <w:r w:rsidR="00970557" w:rsidRPr="00C316F8">
        <w:rPr>
          <w:rFonts w:eastAsia="Times New Roman" w:cstheme="minorHAnsi"/>
          <w:sz w:val="24"/>
          <w:szCs w:val="24"/>
          <w:lang w:val="es-CO" w:eastAsia="es-CO"/>
          <w14:ligatures w14:val="none"/>
        </w:rPr>
        <w:t>demanda políticas</w:t>
      </w:r>
      <w:r w:rsidRPr="00C316F8">
        <w:rPr>
          <w:rFonts w:eastAsia="Times New Roman" w:cstheme="minorHAnsi"/>
          <w:sz w:val="24"/>
          <w:szCs w:val="24"/>
          <w:lang w:val="es-CO" w:eastAsia="es-CO"/>
          <w14:ligatures w14:val="none"/>
        </w:rPr>
        <w:t xml:space="preserve"> específicas de cuidado geriátrico que reconozcan su vulnerabilidad biológica y su valor simbólico, histórico y social.</w:t>
      </w:r>
    </w:p>
    <w:p w14:paraId="5E99AD33" w14:textId="6E4C4C99" w:rsidR="00970557" w:rsidRPr="00C316F8" w:rsidRDefault="00970557" w:rsidP="003B711F">
      <w:pPr>
        <w:jc w:val="both"/>
        <w:rPr>
          <w:rFonts w:eastAsia="Times New Roman" w:cstheme="minorHAnsi"/>
          <w:sz w:val="24"/>
          <w:szCs w:val="24"/>
          <w:lang w:val="es-CO" w:eastAsia="es-CO"/>
          <w14:ligatures w14:val="none"/>
        </w:rPr>
      </w:pPr>
      <w:r w:rsidRPr="00C316F8">
        <w:rPr>
          <w:rFonts w:eastAsia="Times New Roman" w:cstheme="minorHAnsi"/>
          <w:sz w:val="24"/>
          <w:szCs w:val="24"/>
          <w:lang w:val="es-CO" w:eastAsia="es-CO"/>
          <w14:ligatures w14:val="none"/>
        </w:rPr>
        <w:t xml:space="preserve">Desde una perspectiva metodológica, la triangulación de enfoques —análisis espacial, modelos multivariados con datos individuales y territoriales, y cohortes poblacionales— permitió captar tanto las regularidades estructurales como las variaciones locales, ofreciendo una base metodológica replicable para el análisis de futuras emergencias sanitarias. La articulación de fuentes del DANE, el INS y los registros territoriales fortalece la validez de los hallazgos y evidencia la necesidad urgente de fortalecer los sistemas de </w:t>
      </w:r>
      <w:r w:rsidRPr="00C316F8">
        <w:rPr>
          <w:rFonts w:eastAsia="Times New Roman" w:cstheme="minorHAnsi"/>
          <w:sz w:val="24"/>
          <w:szCs w:val="24"/>
          <w:lang w:val="es-CO" w:eastAsia="es-CO"/>
          <w14:ligatures w14:val="none"/>
        </w:rPr>
        <w:lastRenderedPageBreak/>
        <w:t>información en salud con variables sociodemográficas y contextuales que permitan orientar decisiones basadas en evidencia territorial. En conjunto, esta investigación confirma que la pandemia de COVID-19 en Colombia trascendió el ámbito sanitario para convertirse en un evento revelador de las fracturas estructurales del país, ofreciendo insumos estratégicos para el diseño de políticas públicas con enfoque diferencial, territorial y étnico, orientadas a reducir brechas históricas y avanzar hacia un sistema de salud más equitativo.</w:t>
      </w:r>
    </w:p>
    <w:p w14:paraId="27BF8514" w14:textId="0D8762A5" w:rsidR="00354F6F" w:rsidRPr="00C316F8" w:rsidRDefault="00354F6F" w:rsidP="0047389F">
      <w:pPr>
        <w:jc w:val="both"/>
        <w:rPr>
          <w:rFonts w:eastAsia="Times New Roman" w:cstheme="minorHAnsi"/>
          <w:sz w:val="24"/>
          <w:szCs w:val="24"/>
          <w:lang w:val="es-CO" w:eastAsia="es-CO"/>
          <w14:ligatures w14:val="none"/>
        </w:rPr>
      </w:pPr>
      <w:r w:rsidRPr="00C316F8">
        <w:rPr>
          <w:rFonts w:eastAsia="Times New Roman" w:cstheme="minorHAnsi"/>
          <w:sz w:val="24"/>
          <w:szCs w:val="24"/>
          <w:lang w:val="es-CO" w:eastAsia="es-CO"/>
          <w14:ligatures w14:val="none"/>
        </w:rPr>
        <w:t>En síntesis, los tres estudios que conforman el núcleo de esta tesis no son trabajos paralelos sino capas analíticas de un mismo argumento: que la desigualdad en el acceso a bienes públicos, acumulada históricamente en el territorio colombiano, fue el factor que determinó quién vivió y quién murió durante la pandemia por COVID-19. El análisis espacial de la pobreza multidimensional, la desagregación por etnicidad y conflicto armado, y el estudio de la población centenaria construyen juntos una evidencia convergente que ninguno de los tres estudios podría sostener por sí solo.</w:t>
      </w:r>
    </w:p>
    <w:p w14:paraId="3A28B8DF" w14:textId="77777777" w:rsidR="005948AE" w:rsidRPr="00C316F8" w:rsidRDefault="005948AE" w:rsidP="005948AE">
      <w:pPr>
        <w:jc w:val="both"/>
        <w:rPr>
          <w:rFonts w:eastAsia="Times New Roman" w:cstheme="minorHAnsi"/>
          <w:sz w:val="24"/>
          <w:szCs w:val="24"/>
          <w:lang w:val="es-CO" w:eastAsia="es-CO"/>
          <w14:ligatures w14:val="none"/>
        </w:rPr>
      </w:pPr>
      <w:r w:rsidRPr="00C316F8">
        <w:rPr>
          <w:rFonts w:eastAsia="Times New Roman" w:cstheme="minorHAnsi"/>
          <w:sz w:val="24"/>
          <w:szCs w:val="24"/>
          <w:lang w:val="es-CO" w:eastAsia="es-CO"/>
          <w14:ligatures w14:val="none"/>
        </w:rPr>
        <w:t>Estas crisis sanitarias ponen de relieve la necesidad de promover investigaciones sólidas, interdisciplinarias y prospectivas, capaces de anticipar escenarios, orientar decisiones basadas en evidencia y fortalecer la resiliencia de los territorios frente a eventos de propagación infecciosa. En este sentido, la comprensión de los determinantes estructurales que amplifican los riesgos —como la desigualdad, la pobreza y la debilidad institucional— adquiere un valor estratégico para el diseño de políticas públicas sostenibles y equitativas, adaptadas a las particularidades territoriales.</w:t>
      </w:r>
    </w:p>
    <w:p w14:paraId="1ED30360" w14:textId="77777777" w:rsidR="00A66482" w:rsidRPr="00C316F8" w:rsidRDefault="00A66482" w:rsidP="003B711F">
      <w:pPr>
        <w:jc w:val="both"/>
        <w:rPr>
          <w:rFonts w:eastAsia="Times New Roman" w:cstheme="minorHAnsi"/>
          <w:sz w:val="24"/>
          <w:szCs w:val="24"/>
          <w:lang w:val="es-CO" w:eastAsia="es-CO"/>
          <w14:ligatures w14:val="none"/>
        </w:rPr>
      </w:pPr>
      <w:r w:rsidRPr="00C316F8">
        <w:rPr>
          <w:rFonts w:eastAsia="Times New Roman" w:cstheme="minorHAnsi"/>
          <w:sz w:val="24"/>
          <w:szCs w:val="24"/>
          <w:lang w:val="es-CO" w:eastAsia="es-CO"/>
          <w14:ligatures w14:val="none"/>
        </w:rPr>
        <w:br w:type="page"/>
      </w:r>
    </w:p>
    <w:p w14:paraId="43AAF8F3" w14:textId="394168D3" w:rsidR="00A66482" w:rsidRPr="00C316F8" w:rsidRDefault="006C1C09" w:rsidP="006B080D">
      <w:pPr>
        <w:pStyle w:val="Ttulo1"/>
        <w:numPr>
          <w:ilvl w:val="0"/>
          <w:numId w:val="6"/>
        </w:numPr>
        <w:rPr>
          <w:lang w:val="es-CO"/>
        </w:rPr>
      </w:pPr>
      <w:bookmarkStart w:id="7" w:name="_Toc229834629"/>
      <w:r w:rsidRPr="00C316F8">
        <w:rPr>
          <w:lang w:val="es-CO"/>
        </w:rPr>
        <w:lastRenderedPageBreak/>
        <w:t>JUSTIFICACIÓN DEL ESTUDIO</w:t>
      </w:r>
      <w:bookmarkEnd w:id="7"/>
    </w:p>
    <w:p w14:paraId="37571DCD" w14:textId="77777777" w:rsidR="006B080D" w:rsidRPr="00C316F8" w:rsidRDefault="006B080D" w:rsidP="006B080D">
      <w:pPr>
        <w:rPr>
          <w:lang w:val="es-CO"/>
        </w:rPr>
      </w:pPr>
    </w:p>
    <w:p w14:paraId="4859D8D1" w14:textId="55CC6DE4" w:rsidR="005856AD" w:rsidRPr="00C316F8" w:rsidRDefault="005856AD" w:rsidP="003B711F">
      <w:pPr>
        <w:jc w:val="both"/>
        <w:rPr>
          <w:rFonts w:cstheme="minorHAnsi"/>
          <w:sz w:val="24"/>
          <w:szCs w:val="24"/>
          <w:lang w:val="es-CO"/>
        </w:rPr>
      </w:pPr>
      <w:r w:rsidRPr="00C316F8">
        <w:rPr>
          <w:rFonts w:cstheme="minorHAnsi"/>
          <w:sz w:val="24"/>
          <w:szCs w:val="24"/>
          <w:lang w:val="es-CO"/>
        </w:rPr>
        <w:t xml:space="preserve">La pandemia por COVID-19, declarada por la </w:t>
      </w:r>
      <w:r w:rsidR="006C1C09" w:rsidRPr="00C316F8">
        <w:rPr>
          <w:rFonts w:cstheme="minorHAnsi"/>
          <w:sz w:val="24"/>
          <w:szCs w:val="24"/>
          <w:lang w:val="es-CO"/>
        </w:rPr>
        <w:t>OMS</w:t>
      </w:r>
      <w:r w:rsidRPr="00C316F8">
        <w:rPr>
          <w:rFonts w:cstheme="minorHAnsi"/>
          <w:sz w:val="24"/>
          <w:szCs w:val="24"/>
          <w:lang w:val="es-CO"/>
        </w:rPr>
        <w:t xml:space="preserve"> como emergencia de salud pública de importancia internacional en enero de 2020 y reconocida como pandemia global en marzo del mismo año, ha tenido repercusiones profundas en los sistemas de salud, las economías y las dinámicas sociales en todo el mundo. En Colombia, el primer caso confirmado fue reportado el 6 de marzo de 2020, seguido por la declaración del estado de emergencia sanitaria el 17 de marzo y la instauración del aislamiento preventivo obligatorio a partir del 25 de marzo. Estos hechos marcaron el inicio de un periodo de alta incertidumbre y presión institucional, en el que se hicieron evidentes de manera aguda las desigualdades estructurales que históricamente han caracterizado al país</w:t>
      </w:r>
      <w:r w:rsidR="00435E47" w:rsidRPr="00C316F8">
        <w:rPr>
          <w:rFonts w:cstheme="minorHAnsi"/>
          <w:sz w:val="24"/>
          <w:szCs w:val="24"/>
          <w:lang w:val="es-CO"/>
        </w:rPr>
        <w:t xml:space="preserve"> </w:t>
      </w:r>
      <w:r w:rsidR="00707240" w:rsidRPr="00C316F8">
        <w:rPr>
          <w:rFonts w:cstheme="minorHAnsi"/>
          <w:sz w:val="24"/>
          <w:szCs w:val="24"/>
          <w:lang w:val="es-CO"/>
        </w:rPr>
        <w:fldChar w:fldCharType="begin"/>
      </w:r>
      <w:r w:rsidR="00961D28" w:rsidRPr="00C316F8">
        <w:rPr>
          <w:rFonts w:cstheme="minorHAnsi"/>
          <w:sz w:val="24"/>
          <w:szCs w:val="24"/>
          <w:lang w:val="es-CO"/>
        </w:rPr>
        <w:instrText xml:space="preserve"> ADDIN ZOTERO_ITEM CSL_CITATION {"citationID":"UDbCLUzd","properties":{"formattedCitation":"(1)","plainCitation":"(1)","noteIndex":0},"citationItems":[{"id":1747,"uris":["http://zotero.org/users/5785509/items/UCY34V8P"],"itemData":{"id":1747,"type":"webpage","title":"Colombia confirma su primer caso de COVID-19","URL":"https://www.minsalud.gov.co/Paginas/Colombia-confirma-su-primer-caso-de-COVID-19.aspx","accessed":{"date-parts":[["2025",5,18]]}}}],"schema":"https://github.com/citation-style-language/schema/raw/master/csl-citation.json"} </w:instrText>
      </w:r>
      <w:r w:rsidR="00707240" w:rsidRPr="00C316F8">
        <w:rPr>
          <w:rFonts w:cstheme="minorHAnsi"/>
          <w:sz w:val="24"/>
          <w:szCs w:val="24"/>
          <w:lang w:val="es-CO"/>
        </w:rPr>
        <w:fldChar w:fldCharType="separate"/>
      </w:r>
      <w:r w:rsidR="00961D28" w:rsidRPr="00C316F8">
        <w:rPr>
          <w:rFonts w:ascii="Calibri" w:hAnsi="Calibri" w:cs="Calibri"/>
          <w:sz w:val="24"/>
          <w:lang w:val="es-CO"/>
        </w:rPr>
        <w:t>(1)</w:t>
      </w:r>
      <w:r w:rsidR="00707240" w:rsidRPr="00C316F8">
        <w:rPr>
          <w:rFonts w:cstheme="minorHAnsi"/>
          <w:sz w:val="24"/>
          <w:szCs w:val="24"/>
          <w:lang w:val="es-CO"/>
        </w:rPr>
        <w:fldChar w:fldCharType="end"/>
      </w:r>
      <w:r w:rsidRPr="00C316F8">
        <w:rPr>
          <w:rFonts w:cstheme="minorHAnsi"/>
          <w:sz w:val="24"/>
          <w:szCs w:val="24"/>
          <w:lang w:val="es-CO"/>
        </w:rPr>
        <w:t>.</w:t>
      </w:r>
    </w:p>
    <w:p w14:paraId="52D130ED" w14:textId="3BD97038" w:rsidR="005856AD" w:rsidRPr="00C316F8" w:rsidRDefault="005856AD" w:rsidP="003B711F">
      <w:pPr>
        <w:jc w:val="both"/>
        <w:rPr>
          <w:rFonts w:cstheme="minorHAnsi"/>
          <w:sz w:val="24"/>
          <w:szCs w:val="24"/>
          <w:lang w:val="es-CO"/>
        </w:rPr>
      </w:pPr>
      <w:r w:rsidRPr="00C316F8">
        <w:rPr>
          <w:rFonts w:cstheme="minorHAnsi"/>
          <w:sz w:val="24"/>
          <w:szCs w:val="24"/>
          <w:lang w:val="es-CO"/>
        </w:rPr>
        <w:t>El impacto de la pandemia fue desigual. Grupos históricamente marginados —como las comunidades afro</w:t>
      </w:r>
      <w:r w:rsidR="008863AF" w:rsidRPr="00C316F8">
        <w:rPr>
          <w:rFonts w:cstheme="minorHAnsi"/>
          <w:sz w:val="24"/>
          <w:szCs w:val="24"/>
          <w:lang w:val="es-CO"/>
        </w:rPr>
        <w:t>americanas</w:t>
      </w:r>
      <w:r w:rsidRPr="00C316F8">
        <w:rPr>
          <w:rFonts w:cstheme="minorHAnsi"/>
          <w:sz w:val="24"/>
          <w:szCs w:val="24"/>
          <w:lang w:val="es-CO"/>
        </w:rPr>
        <w:t xml:space="preserve"> e indígenas, las personas mayores y quienes habitan en territorios con bajo desarrollo fiscal o con antecedentes de conflicto armado— enfrentaron una mayor exposición al riesgo, mayores barreras para acceder a atención oportuna y, en consecuencia, tasas más altas de mortalidad. Estas diferencias no fueron azarosas ni excepcionales: reflejan condiciones sociales y territoriales persistentes que han configurado escenarios de vulnerabilidad estructural mucho antes de la llegada del virus</w:t>
      </w:r>
      <w:r w:rsidR="00930C2E" w:rsidRPr="00C316F8">
        <w:rPr>
          <w:rFonts w:cstheme="minorHAnsi"/>
          <w:sz w:val="24"/>
          <w:szCs w:val="24"/>
          <w:lang w:val="es-CO"/>
        </w:rPr>
        <w:t xml:space="preserve"> </w:t>
      </w:r>
      <w:r w:rsidR="00930C2E" w:rsidRPr="00C316F8">
        <w:rPr>
          <w:rFonts w:cstheme="minorHAnsi"/>
          <w:sz w:val="24"/>
          <w:szCs w:val="24"/>
          <w:lang w:val="es-CO"/>
        </w:rPr>
        <w:fldChar w:fldCharType="begin"/>
      </w:r>
      <w:r w:rsidR="00CD2033" w:rsidRPr="00C316F8">
        <w:rPr>
          <w:rFonts w:cstheme="minorHAnsi"/>
          <w:sz w:val="24"/>
          <w:szCs w:val="24"/>
          <w:lang w:val="es-CO"/>
        </w:rPr>
        <w:instrText xml:space="preserve"> ADDIN ZOTERO_ITEM CSL_CITATION {"citationID":"PM479f6X","properties":{"formattedCitation":"(4,5,15,16)","plainCitation":"(4,5,15,16)","noteIndex":0},"citationItems":[{"id":463,"uris":["http://zotero.org/users/5785509/items/JVS33YZB"],"itemData":{"id":463,"type":"article-journal","container-title":"The Lancet","DOI":"10.1016/S0140-6736(21)00634-6","ISSN":"01406736","issue":"10286","journalAbbreviation":"The Lancet","language":"en","page":"1711-1724","source":"DOI.org (Crossref)","title":"Ethnic differences in SARS-CoV-2 infection and COVID-19-related hospitalisation, intensive care unit admission, and death in 17 million adults in England: an observational cohort study using the OpenSAFELY platform","title-short":"Ethnic differences in SARS-CoV-2 infection and COVID-19-related hospitalisation, intensive care unit admission, and death in 17 million adults in England","URL":"https://linkinghub.elsevier.com/retrieve/pii/S0140673621006346","volume":"397","author":[{"family":"Mathur","given":"Rohini"},{"family":"Rentsch","given":"Christopher T"},{"family":"Morton","given":"Caroline E"},{"family":"Hulme","given":"William J"},{"family":"Schultze","given":"Anna"},{"family":"MacKenna","given":"Brian"},{"family":"Eggo","given":"Rosalind M"},{"family":"Bhaskaran","given":"Krishnan"},{"family":"Wong","given":"Angel Y S"},{"family":"Williamson","given":"Elizabeth J"},{"family":"Forbes","given":"Harriet"},{"family":"Wing","given":"Kevin"},{"family":"McDonald","given":"Helen I"},{"family":"Bates","given":"Chris"},{"family":"Bacon","given":"Seb"},{"family":"Walker","given":"Alex J"},{"family":"Evans","given":"David"},{"family":"Inglesby","given":"Peter"},{"family":"Mehrkar","given":"Amir"},{"family":"Curtis","given":"Helen J"},{"family":"DeVito","given":"Nicholas J"},{"family":"Croker","given":"Richard"},{"family":"Drysdale","given":"Henry"},{"family":"Cockburn","given":"Jonathan"},{"family":"Parry","given":"John"},{"family":"Hester","given":"Frank"},{"family":"Harper","given":"Sam"},{"family":"Douglas","given":"Ian J"},{"family":"Tomlinson","given":"Laurie"},{"family":"Evans","given":"Stephen J W"},{"family":"Grieve","given":"Richard"},{"family":"Harrison","given":"David"},{"family":"Rowan","given":"Kathy"},{"family":"Khunti","given":"Kamlesh"},{"family":"Chaturvedi","given":"Nishi"},{"family":"Smeeth","given":"Liam"},{"family":"Goldacre","given":"Ben"}],"accessed":{"date-parts":[["2022",5,11]]},"issued":{"date-parts":[["2021",5]]}}},{"id":52,"uris":["http://zotero.org/users/5785509/items/4K5I5LNQ"],"itemData":{"id":52,"type":"article-journal","container-title":"Social Science &amp; Medicine","DOI":"10.1016/j.socscimed.2004.04.026","ISSN":"02779536","issue":"1","journalAbbreviation":"Social Science &amp; Medicine","language":"en","page":"191-204","source":"DOI.org (Crossref)","title":"Are racial disparities in health conditional on socioeconomic status?","URL":"https://linkinghub.elsevier.com/retrieve/pii/S0277953604002072","volume":"60","author":[{"family":"Farmer","given":"Melissa M."},{"family":"Ferraro","given":"Kenneth F."}],"accessed":{"date-parts":[["2022",2,22]]},"issued":{"date-parts":[["2005",1]]}}},{"id":499,"uris":["http://zotero.org/users/5785509/items/4SBRC5GE"],"itemData":{"id":499,"type":"article-journal","container-title":"The European Journal of Health Economics","DOI":"10.1007/s10198-021-01280-6","ISSN":"1618-7598, 1618-7601","issue":"4","journalAbbreviation":"Eur J Health Econ","language":"en","page":"629-642","source":"DOI.org (Crossref)","title":"Are regions equal in adversity? A spatial analysis of spread and dynamics of COVID-19 in Europe","title-short":"Are regions equal in adversity?","URL":"https://link.springer.com/10.1007/s10198-021-01280-6","volume":"22","author":[{"family":"Amdaoud","given":"Mounir"},{"family":"Arcuri","given":"Giuseppe"},{"family":"Levratto","given":"Nadine"}],"accessed":{"date-parts":[["2022",4,2]]},"issued":{"date-parts":[["2021",6]]}}},{"id":34,"uris":["http://zotero.org/users/5785509/items/M97V5UP4"],"itemData":{"id":34,"type":"article-journal","container-title":"JAMA","DOI":"10.1001/jama.2020.8598","ISSN":"0098-7484","issue":"24","journalAbbreviation":"JAMA","language":"en","page":"2466","source":"DOI.org (Crossref)","title":"COVID-19 and Racial/Ethnic Disparities","URL":"https://jamanetwork.com/journals/jama/fullarticle/2766098","volume":"323","author":[{"family":"Webb Hooper","given":"Monica"},{"family":"Nápoles","given":"Anna María"},{"family":"Pérez-Stable","given":"Eliseo J."}],"accessed":{"date-parts":[["2022",2,27]]},"issued":{"date-parts":[["2020",6,23]]}}}],"schema":"https://github.com/citation-style-language/schema/raw/master/csl-citation.json"} </w:instrText>
      </w:r>
      <w:r w:rsidR="00930C2E" w:rsidRPr="00C316F8">
        <w:rPr>
          <w:rFonts w:cstheme="minorHAnsi"/>
          <w:sz w:val="24"/>
          <w:szCs w:val="24"/>
          <w:lang w:val="es-CO"/>
        </w:rPr>
        <w:fldChar w:fldCharType="separate"/>
      </w:r>
      <w:r w:rsidR="00961D28" w:rsidRPr="00C316F8">
        <w:rPr>
          <w:rFonts w:ascii="Calibri" w:hAnsi="Calibri" w:cs="Calibri"/>
          <w:sz w:val="24"/>
          <w:lang w:val="es-CO"/>
        </w:rPr>
        <w:t>(4,5,15,16)</w:t>
      </w:r>
      <w:r w:rsidR="00930C2E" w:rsidRPr="00C316F8">
        <w:rPr>
          <w:rFonts w:cstheme="minorHAnsi"/>
          <w:sz w:val="24"/>
          <w:szCs w:val="24"/>
          <w:lang w:val="es-CO"/>
        </w:rPr>
        <w:fldChar w:fldCharType="end"/>
      </w:r>
      <w:r w:rsidRPr="00C316F8">
        <w:rPr>
          <w:rFonts w:cstheme="minorHAnsi"/>
          <w:sz w:val="24"/>
          <w:szCs w:val="24"/>
          <w:lang w:val="es-CO"/>
        </w:rPr>
        <w:t>.</w:t>
      </w:r>
    </w:p>
    <w:p w14:paraId="732AA03B" w14:textId="7C43C53D" w:rsidR="005856AD" w:rsidRPr="00C316F8" w:rsidRDefault="005856AD" w:rsidP="003B711F">
      <w:pPr>
        <w:jc w:val="both"/>
        <w:rPr>
          <w:rFonts w:cstheme="minorHAnsi"/>
          <w:sz w:val="24"/>
          <w:szCs w:val="24"/>
          <w:lang w:val="es-CO"/>
        </w:rPr>
      </w:pPr>
      <w:r w:rsidRPr="00C316F8">
        <w:rPr>
          <w:rFonts w:cstheme="minorHAnsi"/>
          <w:sz w:val="24"/>
          <w:szCs w:val="24"/>
          <w:lang w:val="es-CO"/>
        </w:rPr>
        <w:t>Los determinantes sociales de la salud —las condiciones en que las personas nacen, viven, estudian, trabajan y envejecen— tomaron un rol central durante la pandemia. El acceso limitado a servicios de salud, la informalidad laboral, el déficit de infraestructura básica, la inseguridad alimentaria, el rezago educativo y el hacinamiento contribuyeron, de forma simultánea, a la configuración de un entorno que no solo dificultó las medidas de prevención, sino que también amplificó los efectos adversos de la enfermedad. Estos factores se agrupan en cinco dominios fundamentales ampliamente reconocidos: acceso y calidad del sistema de salud, acceso y calidad de la educación, contexto social y comunitario, estabilidad económica, y entorno físico y ambiental</w:t>
      </w:r>
      <w:r w:rsidR="004F2301" w:rsidRPr="00C316F8">
        <w:rPr>
          <w:rFonts w:cstheme="minorHAnsi"/>
          <w:sz w:val="24"/>
          <w:szCs w:val="24"/>
          <w:lang w:val="es-CO"/>
        </w:rPr>
        <w:t>.</w:t>
      </w:r>
      <w:r w:rsidR="00356838" w:rsidRPr="00C316F8">
        <w:rPr>
          <w:rFonts w:cstheme="minorHAnsi"/>
          <w:sz w:val="24"/>
          <w:szCs w:val="24"/>
          <w:lang w:val="es-CO"/>
        </w:rPr>
        <w:t xml:space="preserve"> </w:t>
      </w:r>
      <w:r w:rsidR="00AE341B"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{"citationID":"1NJJdGPU","properties":{"formattedCitation":"(17\\uc0\\u8211{}19)","plainCitation":"(17–19)","noteIndex":0},"citationItems":[{"id":454,"uris":["http://zotero.org/users/5785509/items/A3ITQU56"],"itemData":{"id":454,"type":"webpage","title":"About Social Determinants of Health (SDOH)","URL":"https://www.cdc.gov/socialdeterminants/about.html","accessed":{"date-parts":[["2022",6,7]]}}},{"id":455,"uris":["http://zotero.org/users/5785509/items/IHYGIDGN"],"itemData":{"id":455,"type":"webpage","title":"Consideraciones sobre acceso igualitario a la salud y grupos de minorías raciales y étnicas | CDC","URL":"https://espanol.cdc.gov/coronavirus/2019-ncov/community/health-equity/race-ethnicity.html","accessed":{"date-parts":[["2022",6,7]]}}},{"id":1461,"uris":["http://zotero.org/users/5785509/items/7M9YBMGW"],"itemData":{"id":1461,"type":"article-journal","container-title":"European Journal of Public Health","DOI":"10.1093/eurpub/ckaa095","ISSN":"1101-1262, 1464-360X","issue":"4","language":"en","page":"617-618","source":"DOI.org (Crossref)","title":"Social Determinants of Health and Inequalities in Covid-19","URL":"https://academic.oup.com/eurpub/article/30/4/617/5868718","volume":"30","author":[{"family":"Burström","given":"Bo"},{"family":"Tao","given":"Wenjing"}],"accessed":{"date-parts":[["2024",3,12]]},"issued":{"date-parts":[["2020",8,1]]}}}],"schema":"https://github.com/citation-style-language/schema/raw/master/csl-citation.json"} </w:instrText>
      </w:r>
      <w:r w:rsidR="00AE341B" w:rsidRPr="00C316F8">
        <w:rPr>
          <w:rFonts w:cstheme="minorHAnsi"/>
          <w:sz w:val="24"/>
          <w:szCs w:val="24"/>
        </w:rPr>
        <w:fldChar w:fldCharType="separate"/>
      </w:r>
      <w:r w:rsidR="00707240" w:rsidRPr="00C316F8">
        <w:rPr>
          <w:rFonts w:cstheme="minorHAnsi"/>
          <w:sz w:val="24"/>
          <w:szCs w:val="24"/>
          <w:lang w:val="es-CO"/>
        </w:rPr>
        <w:t>(17–19)</w:t>
      </w:r>
      <w:r w:rsidR="00AE341B" w:rsidRPr="00C316F8">
        <w:rPr>
          <w:rFonts w:cstheme="minorHAnsi"/>
          <w:sz w:val="24"/>
          <w:szCs w:val="24"/>
        </w:rPr>
        <w:fldChar w:fldCharType="end"/>
      </w:r>
      <w:r w:rsidR="00A46C17" w:rsidRPr="00C316F8">
        <w:rPr>
          <w:rFonts w:cstheme="minorHAnsi"/>
          <w:sz w:val="24"/>
          <w:szCs w:val="24"/>
          <w:lang w:val="es-CO"/>
        </w:rPr>
        <w:t xml:space="preserve"> </w:t>
      </w:r>
    </w:p>
    <w:p w14:paraId="74EC3614" w14:textId="1F1B5E94" w:rsidR="005856AD" w:rsidRPr="00C316F8" w:rsidRDefault="005856AD" w:rsidP="003B711F">
      <w:pPr>
        <w:jc w:val="both"/>
        <w:rPr>
          <w:rFonts w:cstheme="minorHAnsi"/>
          <w:sz w:val="24"/>
          <w:szCs w:val="24"/>
          <w:lang w:val="es-CO"/>
        </w:rPr>
      </w:pPr>
      <w:r w:rsidRPr="00C316F8">
        <w:rPr>
          <w:rFonts w:cstheme="minorHAnsi"/>
          <w:sz w:val="24"/>
          <w:szCs w:val="24"/>
          <w:lang w:val="es-CO"/>
        </w:rPr>
        <w:t>En un país como Colombia —marcado por profundas brechas interregionales e intrarregionales, por una historia de conflicto armado— las desigualdades territoriales no son una excepción, sino una característica estructural. Como lo ha señalado Acosta-Medina, “Colombia es el país de las desigualdades”, una afirmación respaldada por décadas de datos que muestran la persistencia del rezago en distintas regiones del país</w:t>
      </w:r>
      <w:r w:rsidR="004F2301" w:rsidRPr="00C316F8">
        <w:rPr>
          <w:rFonts w:cstheme="minorHAnsi"/>
          <w:sz w:val="24"/>
          <w:szCs w:val="24"/>
          <w:lang w:val="es-CO"/>
        </w:rPr>
        <w:t>.</w:t>
      </w:r>
      <w:r w:rsidR="00BF5F91" w:rsidRPr="00C316F8">
        <w:rPr>
          <w:rFonts w:cstheme="minorHAnsi"/>
          <w:sz w:val="24"/>
          <w:szCs w:val="24"/>
          <w:lang w:val="es-CO"/>
        </w:rPr>
        <w:t xml:space="preserve"> </w:t>
      </w:r>
      <w:r w:rsidR="00BF5F91"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X77blxZt","properties":{"formattedCitation":"(20)","plainCitation":"(20)","noteIndex":0},"citationItems":[{"id":453,"uris":["http://zotero.org/users/5785509/items/W5GER6MS"],"itemData":{"id":453,"type":"article-journal","container-title":"Tendencias","ISSN":"0124-8693","issue":"1","language":"es","page":"9-35","publisher":"Facultad de Ciencias Económicas y administrativas","source":"SciELO","title":"COLOMBIA: ESCENARIO DE LAS DESIGUALDADES","title-short":"COLOMBIA","URL":"http://www.scielo.org.co/scielo.php?script=sci_abstract&amp;pid=S0124-86932013000100009&amp;lng=en&amp;nrm=iso&amp;tlng=es","volume":"14","author":[{"family":"Acosta Medina","given":"Amylkar D."},{"family":"Acosta Medina","given":"Amylkar D."}],"accessed":{"date-parts":[["2022",6,7]]},"issued":{"date-parts":[["2013",6]]}}}],"schema":"https://github.com/citation-style-language/schema/raw/master/csl-citation.json"} </w:instrText>
      </w:r>
      <w:r w:rsidR="00BF5F91" w:rsidRPr="00C316F8">
        <w:rPr>
          <w:rFonts w:cstheme="minorHAnsi"/>
          <w:sz w:val="24"/>
          <w:szCs w:val="24"/>
        </w:rPr>
        <w:fldChar w:fldCharType="separate"/>
      </w:r>
      <w:r w:rsidR="00707240" w:rsidRPr="00C316F8">
        <w:rPr>
          <w:rFonts w:cstheme="minorHAnsi"/>
          <w:sz w:val="24"/>
          <w:szCs w:val="24"/>
          <w:lang w:val="es-CO"/>
        </w:rPr>
        <w:t>(20)</w:t>
      </w:r>
      <w:r w:rsidR="00BF5F91" w:rsidRPr="00C316F8">
        <w:rPr>
          <w:rFonts w:cstheme="minorHAnsi"/>
          <w:sz w:val="24"/>
          <w:szCs w:val="24"/>
        </w:rPr>
        <w:fldChar w:fldCharType="end"/>
      </w:r>
    </w:p>
    <w:p w14:paraId="5B4CA969" w14:textId="4ACF39C2" w:rsidR="005856AD" w:rsidRPr="00C316F8" w:rsidRDefault="005856AD" w:rsidP="003B711F">
      <w:pPr>
        <w:jc w:val="both"/>
        <w:rPr>
          <w:rFonts w:cstheme="minorHAnsi"/>
          <w:sz w:val="24"/>
          <w:szCs w:val="24"/>
          <w:lang w:val="es-CO"/>
        </w:rPr>
      </w:pPr>
      <w:r w:rsidRPr="00C316F8">
        <w:rPr>
          <w:rFonts w:cstheme="minorHAnsi"/>
          <w:sz w:val="24"/>
          <w:szCs w:val="24"/>
          <w:lang w:val="es-CO"/>
        </w:rPr>
        <w:t>En este contexto, resulta fundamental generar conocimiento que permita visibilizar cómo estas desigualdades estructurales afectaron los desenlaces en salud durante la pandemia. La necesidad de comprender la interacción entre pobreza, etnicidad, envejecimiento y condiciones territoriales responde no solo a un interés académico, sino a la urgencia ética y política de construir un sistema de salud más justo, con capacidad de respuesta diferencial y con un enfoque que reconozca la diversidad y complejidad del territorio colombiano.</w:t>
      </w:r>
    </w:p>
    <w:p w14:paraId="12DC0979" w14:textId="77777777" w:rsidR="00A66482" w:rsidRPr="00C316F8" w:rsidRDefault="00A66482" w:rsidP="003B711F">
      <w:pPr>
        <w:jc w:val="both"/>
        <w:rPr>
          <w:rFonts w:cstheme="minorHAnsi"/>
          <w:sz w:val="24"/>
          <w:szCs w:val="24"/>
          <w:lang w:val="es-CO"/>
        </w:rPr>
      </w:pPr>
    </w:p>
    <w:p w14:paraId="7EC40318" w14:textId="616DB8C7" w:rsidR="00FC6477" w:rsidRPr="00C316F8" w:rsidRDefault="00FC6477" w:rsidP="00B96D9D">
      <w:pPr>
        <w:pStyle w:val="Ttulo1"/>
        <w:numPr>
          <w:ilvl w:val="0"/>
          <w:numId w:val="2"/>
        </w:numPr>
        <w:rPr>
          <w:lang w:val="es-ES"/>
        </w:rPr>
      </w:pPr>
      <w:bookmarkStart w:id="8" w:name="_Toc229834630"/>
      <w:r w:rsidRPr="00C316F8">
        <w:rPr>
          <w:lang w:val="es-ES"/>
        </w:rPr>
        <w:t>MARCO TEÓRICO</w:t>
      </w:r>
      <w:bookmarkEnd w:id="8"/>
    </w:p>
    <w:p w14:paraId="1BA94D2F" w14:textId="6C17C5F3" w:rsidR="00E15DB8" w:rsidRPr="00C316F8" w:rsidRDefault="007B2961" w:rsidP="00B96D9D">
      <w:pPr>
        <w:pStyle w:val="Ttulo1"/>
        <w:numPr>
          <w:ilvl w:val="1"/>
          <w:numId w:val="2"/>
        </w:numPr>
        <w:ind w:left="284" w:hanging="284"/>
        <w:rPr>
          <w:lang w:val="es-ES"/>
        </w:rPr>
      </w:pPr>
      <w:bookmarkStart w:id="9" w:name="_Toc229834631"/>
      <w:r w:rsidRPr="00C316F8">
        <w:rPr>
          <w:lang w:val="es-ES"/>
        </w:rPr>
        <w:t>Antecedentes históricos de pandemias y factores socioeconómicos</w:t>
      </w:r>
      <w:bookmarkEnd w:id="9"/>
    </w:p>
    <w:p w14:paraId="4902C5C9" w14:textId="77777777" w:rsidR="00E15DB8" w:rsidRPr="00C316F8" w:rsidRDefault="00E15DB8" w:rsidP="003B711F">
      <w:pPr>
        <w:jc w:val="both"/>
        <w:rPr>
          <w:rFonts w:cstheme="minorHAnsi"/>
          <w:bCs/>
          <w:sz w:val="24"/>
          <w:szCs w:val="24"/>
          <w:lang w:val="es-ES"/>
        </w:rPr>
      </w:pPr>
    </w:p>
    <w:p w14:paraId="0A6A9554" w14:textId="332BC1E8" w:rsidR="00E15DB8" w:rsidRPr="00C316F8" w:rsidRDefault="003F1623" w:rsidP="003B711F">
      <w:pPr>
        <w:jc w:val="both"/>
        <w:rPr>
          <w:rFonts w:cstheme="minorHAnsi"/>
          <w:sz w:val="24"/>
          <w:szCs w:val="24"/>
          <w:lang w:val="es-ES"/>
        </w:rPr>
      </w:pPr>
      <w:r w:rsidRPr="00C316F8">
        <w:rPr>
          <w:rFonts w:cstheme="minorHAnsi"/>
          <w:sz w:val="24"/>
          <w:szCs w:val="24"/>
          <w:lang w:val="es-ES"/>
        </w:rPr>
        <w:t xml:space="preserve">La aparición de enfermedades puede presentarse de manera impredecible en un mundo globalizado, donde las personas y los productos se desplazan sin mayores restricciones, lo que facilita que los patógenos se propaguen rápidamente y afecten a un gran número de personas. Reconocer las enfermedades emergentes y aplicar medidas oportunas de control resulta de vital importancia para lograr su contención. Durante las pandemias no solo se ven afectadas las personas, sino también las sociedades y las economías de los distintos países, que se desarrollan dentro de modelos vulnerables debido a sus fallas estructurales, altos niveles de desigualdad e informalidad laboral, fragmentación institucional en la protección social y limitaciones en las estructuras comerciales y tecnológicas. Todo ello amplifica el impacto de las crisis sanitarias en múltiples niveles. </w:t>
      </w:r>
      <w:r w:rsidR="00E15DB8" w:rsidRPr="00C316F8">
        <w:rPr>
          <w:rFonts w:cstheme="minorHAnsi"/>
          <w:sz w:val="24"/>
          <w:szCs w:val="24"/>
          <w:lang w:val="es-ES"/>
        </w:rPr>
        <w:fldChar w:fldCharType="begin"/>
      </w:r>
      <w:r w:rsidR="00961D28" w:rsidRPr="00C316F8">
        <w:rPr>
          <w:rFonts w:cstheme="minorHAnsi"/>
          <w:sz w:val="24"/>
          <w:szCs w:val="24"/>
          <w:lang w:val="es-ES"/>
        </w:rPr>
        <w:instrText xml:space="preserve"> ADDIN ZOTERO_ITEM CSL_CITATION {"citationID":"mgz6mver","properties":{"formattedCitation":"(21)","plainCitation":"(21)","noteIndex":0},"citationItems":[{"id":466,"uris":["http://zotero.org/users/5785509/items/TIX7K5EJ"],"itemData":{"id":466,"type":"webpage","title":"La pandemia de enfermedad por coronavirus (COVID-19): una oportunidad de aplicar un enfoque sistémico al riesgo de desastres en el Caribe | Publicación | Comisión Económica para América Latina y el Caribe","URL":"https://www.cepal.org/es/publicaciones/46731-la-pandemia-enfermedad-coronavirus-covid-19-oportunidad-aplicar-un-enfoque","accessed":{"date-parts":[["2022",5,11]]}}}],"schema":"https://github.com/citation-style-language/schema/raw/master/csl-citation.json"} </w:instrText>
      </w:r>
      <w:r w:rsidR="00E15DB8" w:rsidRPr="00C316F8">
        <w:rPr>
          <w:rFonts w:cstheme="minorHAnsi"/>
          <w:sz w:val="24"/>
          <w:szCs w:val="24"/>
          <w:lang w:val="es-ES"/>
        </w:rPr>
        <w:fldChar w:fldCharType="separate"/>
      </w:r>
      <w:r w:rsidR="00707240" w:rsidRPr="00C316F8">
        <w:rPr>
          <w:rFonts w:cstheme="minorHAnsi"/>
          <w:sz w:val="24"/>
          <w:szCs w:val="24"/>
          <w:lang w:val="es-CO"/>
        </w:rPr>
        <w:t>(21)</w:t>
      </w:r>
      <w:r w:rsidR="00E15DB8" w:rsidRPr="00C316F8">
        <w:rPr>
          <w:rFonts w:cstheme="minorHAnsi"/>
          <w:sz w:val="24"/>
          <w:szCs w:val="24"/>
          <w:lang w:val="es-ES"/>
        </w:rPr>
        <w:fldChar w:fldCharType="end"/>
      </w:r>
    </w:p>
    <w:p w14:paraId="4122712B" w14:textId="15B97EFD" w:rsidR="00B77B92" w:rsidRPr="00C316F8" w:rsidRDefault="00B77B92" w:rsidP="003B711F">
      <w:pPr>
        <w:jc w:val="both"/>
        <w:rPr>
          <w:rFonts w:cstheme="minorHAnsi"/>
          <w:sz w:val="24"/>
          <w:szCs w:val="24"/>
          <w:lang w:val="es-ES"/>
        </w:rPr>
      </w:pPr>
      <w:r w:rsidRPr="00C316F8">
        <w:rPr>
          <w:rFonts w:cstheme="minorHAnsi"/>
          <w:sz w:val="24"/>
          <w:szCs w:val="24"/>
          <w:lang w:val="es-ES"/>
        </w:rPr>
        <w:t>En el marco de las afectaciones a gran escala, los choques macroeconómicos negativos derivados de las pandemias —como lo demuestra la evidencia histórica— han generado consecuencias significativas en distintos ámbitos. En este contexto, a continuación, se examinan los impactos económicos y sociales documentados en diversos estudios.</w:t>
      </w:r>
    </w:p>
    <w:p w14:paraId="3E6716C4" w14:textId="7B7B0EB8" w:rsidR="00E15DB8" w:rsidRPr="00C316F8" w:rsidRDefault="000018AA" w:rsidP="003B711F">
      <w:pPr>
        <w:jc w:val="both"/>
        <w:rPr>
          <w:rFonts w:cstheme="minorHAnsi"/>
          <w:sz w:val="24"/>
          <w:szCs w:val="24"/>
          <w:lang w:val="es-ES"/>
        </w:rPr>
      </w:pPr>
      <w:r w:rsidRPr="00C316F8">
        <w:rPr>
          <w:rFonts w:cstheme="minorHAnsi"/>
          <w:sz w:val="24"/>
          <w:szCs w:val="24"/>
          <w:lang w:val="es-ES"/>
        </w:rPr>
        <w:t>En 1918 se presentó la pandemia de gripe española, durante la cual se estima que alrededor de 500 millones de personas en el mundo fueron infectadas y entre 50 y 100 millones fallecieron. La población joven, especialmente aquellos entre 15 y 40 años, se vio desproporcionadamente afectada por el contagio, cuya propagación se intensificó debido al movimiento de tropas asociado a la Primera Guerra Mundial. Karlsson et al. analizaron el impacto económico de la pandemia en Suecia utilizando datos administrativos regionales, y encontraron que aproximadamente el 1% de la población falleció. Los resultados mostraron que la pandemia redujo el retorno de capital y aumentó la pobreza de los hogares, sin observarse incrementos significativos en las ganancias. Las regiones con mayores niveles de mortalidad presentaron una disminución del ingreso de capital del 5% durante la pandemia y de hasta el 6% en el periodo posterior, evidenciando el profundo impacto económico y social derivado de la crisis sanitaria. Estos hallazgos empíricos desafían las predicciones de los modelos teóricos de crecimiento, que anticipan un aumento de salarios reales tras una reducción abrupta de la oferta laboral, y sugieren que los mecanismos de ajuste tras un choque demográfico masivo son más complejos de lo esperado</w:t>
      </w:r>
      <w:r w:rsidR="00B97D0A" w:rsidRPr="00C316F8">
        <w:rPr>
          <w:rFonts w:cstheme="minorHAnsi"/>
          <w:sz w:val="24"/>
          <w:szCs w:val="24"/>
          <w:lang w:val="es-ES"/>
        </w:rPr>
        <w:t>.</w:t>
      </w:r>
      <w:r w:rsidRPr="00C316F8">
        <w:rPr>
          <w:rFonts w:cstheme="minorHAnsi"/>
          <w:sz w:val="24"/>
          <w:szCs w:val="24"/>
          <w:lang w:val="es-ES"/>
        </w:rPr>
        <w:t xml:space="preserve"> </w:t>
      </w:r>
      <w:r w:rsidR="00E15DB8"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{"citationID":"M2iXsJ7F","properties":{"formattedCitation":"(22)","plainCitation":"(22)","noteIndex":0},"citationItems":[{"id":6,"uris":["http://zotero.org/users/5785509/items/NP3XUWEV"],"itemData":{"id":6,"type":"article-journal","container-title":"Journal of Health Economics","DOI":"10.1016/j.jhealeco.2014.03.005","ISSN":"01676296","journalAbbreviation":"Journal of Health Economics","language":"en","page":"1-19","source":"DOI.org (Crossref)","title":"The impact of the 1918 Spanish flu epidemic on economic performance in Sweden","URL":"https://linkinghub.elsevier.com/retrieve/pii/S0167629614000344","volume":"36","author":[{"family":"Karlsson","given":"Martin"},{"family":"Nilsson","given":"Therese"},{"family":"Pichler","given":"Stefan"}],"accessed":{"date-parts":[["2022",4,2]]},"issued":{"date-parts":[["2014",7]]}}}],"schema":"https://github.com/citation-style-language/schema/raw/master/csl-citation.json"} </w:instrText>
      </w:r>
      <w:r w:rsidR="00E15DB8" w:rsidRPr="00C316F8">
        <w:rPr>
          <w:rFonts w:cstheme="minorHAnsi"/>
          <w:sz w:val="24"/>
          <w:szCs w:val="24"/>
          <w:lang w:val="es-ES"/>
        </w:rPr>
        <w:fldChar w:fldCharType="separate"/>
      </w:r>
      <w:r w:rsidR="00707240" w:rsidRPr="00C316F8">
        <w:rPr>
          <w:rFonts w:cstheme="minorHAnsi"/>
          <w:sz w:val="24"/>
          <w:szCs w:val="24"/>
          <w:lang w:val="es-CO"/>
        </w:rPr>
        <w:t>(22)</w:t>
      </w:r>
      <w:r w:rsidR="00E15DB8" w:rsidRPr="00C316F8">
        <w:rPr>
          <w:rFonts w:cstheme="minorHAnsi"/>
          <w:sz w:val="24"/>
          <w:szCs w:val="24"/>
          <w:lang w:val="es-ES"/>
        </w:rPr>
        <w:fldChar w:fldCharType="end"/>
      </w:r>
    </w:p>
    <w:p w14:paraId="3EF0165D" w14:textId="0BA08905" w:rsidR="00E15DB8" w:rsidRPr="00C316F8" w:rsidRDefault="00AA60C3" w:rsidP="003B711F">
      <w:pPr>
        <w:jc w:val="both"/>
        <w:rPr>
          <w:rFonts w:cstheme="minorHAnsi"/>
          <w:sz w:val="24"/>
          <w:szCs w:val="24"/>
          <w:lang w:val="es-CO"/>
        </w:rPr>
      </w:pPr>
      <w:r w:rsidRPr="00C316F8">
        <w:rPr>
          <w:rFonts w:cstheme="minorHAnsi"/>
          <w:sz w:val="24"/>
          <w:szCs w:val="24"/>
          <w:lang w:val="es-ES"/>
        </w:rPr>
        <w:t xml:space="preserve">Algunos estudios han identificado variaciones positivas. Por ejemplo, Malanima et al. sugieren que la crisis demográfica provocada por la peste negra de 1347 no solo redujo de manera drástica la población, sino que también generó un incremento en la disponibilidad </w:t>
      </w:r>
      <w:r w:rsidRPr="00C316F8">
        <w:rPr>
          <w:rFonts w:cstheme="minorHAnsi"/>
          <w:sz w:val="24"/>
          <w:szCs w:val="24"/>
          <w:lang w:val="es-ES"/>
        </w:rPr>
        <w:lastRenderedPageBreak/>
        <w:t>de recursos naturales, en la productividad del trabajo y en los niveles de vida de las clases media y alta en ciertas regiones de Italia. No obstante, estas conclusiones deben comprenderse en el marco de una sociedad con dinámicas malthusianas, en la cual una disminución de la población podía traducirse en mayores oportunidades para quienes lograron sobrevivir a la enfermedad</w:t>
      </w:r>
      <w:r w:rsidR="00AF30F6" w:rsidRPr="00C316F8">
        <w:rPr>
          <w:rFonts w:cstheme="minorHAnsi"/>
          <w:sz w:val="24"/>
          <w:szCs w:val="24"/>
          <w:lang w:val="es-ES"/>
        </w:rPr>
        <w:t>.</w:t>
      </w:r>
      <w:r w:rsidRPr="00C316F8">
        <w:rPr>
          <w:rFonts w:cstheme="minorHAnsi"/>
          <w:sz w:val="24"/>
          <w:szCs w:val="24"/>
          <w:lang w:val="es-ES"/>
        </w:rPr>
        <w:t xml:space="preserve"> </w:t>
      </w:r>
      <w:r w:rsidR="00E15DB8"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{"citationID":"cXQgSuhr","properties":{"formattedCitation":"(23,24)","plainCitation":"(23,24)","noteIndex":0},"citationItems":[{"id":4,"uris":["http://zotero.org/users/5785509/items/4DR3EWB9"],"itemData":{"id":4,"type":"article-journal","container-title":"Revista de la Asociación Uruguaya de Historia Económica-Año X-No. 17-Julio de 2020","journalAbbreviation":"Revista de la Asociación Uruguaya de Historia Económica-Año X-No. 17-Julio de 2020","page":"68","title":"Las pandemias y la economía: lecciones desde la historia económica","author":[{"family":"España","given":"Irina"}],"issued":{"date-parts":[["2020"]]}}},{"id":5,"uris":["http://zotero.org/users/5785509/items/36FPPPA6"],"itemData":{"id":5,"type":"article-journal","container-title":"The Economic History Review","DOI":"10.1111/ehr.12650","ISSN":"00130117","issue":"1","journalAbbreviation":"The Economic History Review","language":"en","page":"3-30","source":"DOI.org (Crossref)","title":"Italy in the Renaissance: a leading economy in the European context, 1350-1550: ITALY IN THE RENAISSANCE","title-short":"Italy in the Renaissance","URL":"https://onlinelibrary.wiley.com/doi/10.1111/ehr.12650","volume":"71","author":[{"family":"Malanima","given":"Paolo"}],"accessed":{"date-parts":[["2022",4,2]]},"issued":{"date-parts":[["2018",2]]}}}],"schema":"https://github.com/citation-style-language/schema/raw/master/csl-citation.json"} </w:instrText>
      </w:r>
      <w:r w:rsidR="00E15DB8" w:rsidRPr="00C316F8">
        <w:rPr>
          <w:rFonts w:cstheme="minorHAnsi"/>
          <w:sz w:val="24"/>
          <w:szCs w:val="24"/>
        </w:rPr>
        <w:fldChar w:fldCharType="separate"/>
      </w:r>
      <w:r w:rsidR="00D55555" w:rsidRPr="00C316F8">
        <w:rPr>
          <w:rFonts w:cstheme="minorHAnsi"/>
          <w:sz w:val="24"/>
          <w:szCs w:val="24"/>
          <w:lang w:val="es-CO"/>
        </w:rPr>
        <w:t>(23,24)</w:t>
      </w:r>
      <w:r w:rsidR="00E15DB8" w:rsidRPr="00C316F8">
        <w:rPr>
          <w:rFonts w:cstheme="minorHAnsi"/>
          <w:sz w:val="24"/>
          <w:szCs w:val="24"/>
        </w:rPr>
        <w:fldChar w:fldCharType="end"/>
      </w:r>
    </w:p>
    <w:p w14:paraId="1B96B9B1" w14:textId="4F75E8E2" w:rsidR="00E15DB8" w:rsidRPr="00C316F8" w:rsidRDefault="00E15DB8" w:rsidP="003B711F">
      <w:pPr>
        <w:jc w:val="both"/>
        <w:rPr>
          <w:rFonts w:cstheme="minorHAnsi"/>
          <w:sz w:val="24"/>
          <w:szCs w:val="24"/>
          <w:lang w:val="es-CO"/>
        </w:rPr>
      </w:pPr>
      <w:r w:rsidRPr="00C316F8">
        <w:rPr>
          <w:rFonts w:cstheme="minorHAnsi"/>
          <w:sz w:val="24"/>
          <w:szCs w:val="24"/>
          <w:lang w:val="es-CO"/>
        </w:rPr>
        <w:t xml:space="preserve"> Alfani y Murphy analizan diferentes pandemias encontrando que los barrios más ricos de Londres presentaron menores tasas de mortalidad para las pandemias de 1560 y 1665, </w:t>
      </w:r>
      <w:r w:rsidR="00727A10" w:rsidRPr="00C316F8">
        <w:rPr>
          <w:rFonts w:cstheme="minorHAnsi"/>
          <w:sz w:val="24"/>
          <w:szCs w:val="24"/>
          <w:lang w:val="es-CO"/>
        </w:rPr>
        <w:t xml:space="preserve">y </w:t>
      </w:r>
      <w:r w:rsidRPr="00C316F8">
        <w:rPr>
          <w:rFonts w:cstheme="minorHAnsi"/>
          <w:sz w:val="24"/>
          <w:szCs w:val="24"/>
          <w:lang w:val="es-CO"/>
        </w:rPr>
        <w:t xml:space="preserve">menciona que los barrios más pobres de Milán aportaron el 42% de las víctimas de las plagas de 1523, evidenciándose </w:t>
      </w:r>
      <w:r w:rsidR="00727A10" w:rsidRPr="00C316F8">
        <w:rPr>
          <w:rFonts w:cstheme="minorHAnsi"/>
          <w:sz w:val="24"/>
          <w:szCs w:val="24"/>
          <w:lang w:val="es-CO"/>
        </w:rPr>
        <w:t xml:space="preserve">desde </w:t>
      </w:r>
      <w:r w:rsidRPr="00C316F8">
        <w:rPr>
          <w:rFonts w:cstheme="minorHAnsi"/>
          <w:sz w:val="24"/>
          <w:szCs w:val="24"/>
          <w:lang w:val="es-CO"/>
        </w:rPr>
        <w:t xml:space="preserve">que en épocas anteriores las pandemias </w:t>
      </w:r>
      <w:r w:rsidR="00727A10" w:rsidRPr="00C316F8">
        <w:rPr>
          <w:rFonts w:cstheme="minorHAnsi"/>
          <w:sz w:val="24"/>
          <w:szCs w:val="24"/>
          <w:lang w:val="es-CO"/>
        </w:rPr>
        <w:t>han tenido</w:t>
      </w:r>
      <w:r w:rsidRPr="00C316F8">
        <w:rPr>
          <w:rFonts w:cstheme="minorHAnsi"/>
          <w:sz w:val="24"/>
          <w:szCs w:val="24"/>
          <w:lang w:val="es-CO"/>
        </w:rPr>
        <w:t xml:space="preserve"> efectos mayores en las poblaciones con menor ingreso</w:t>
      </w:r>
      <w:r w:rsidR="00351A68"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{"citationID":"r6m6mBqe","properties":{"formattedCitation":"(23,25)","plainCitation":"(23,25)","noteIndex":0},"citationItems":[{"id":4,"uris":["http://zotero.org/users/5785509/items/4DR3EWB9"],"itemData":{"id":4,"type":"article-journal","container-title":"Revista de la Asociación Uruguaya de Historia Económica-Año X-No. 17-Julio de 2020","journalAbbreviation":"Revista de la Asociación Uruguaya de Historia Económica-Año X-No. 17-Julio de 2020","page":"68","title":"Las pandemias y la economía: lecciones desde la historia económica","author":[{"family":"España","given":"Irina"}],"issued":{"date-parts":[["2020"]]}}},{"id":1,"uris":["http://zotero.org/users/5785509/items/IR3AU5UQ"],"itemData":{"id":1,"type":"article-journal","abstract":"This article provides an overview of recent literature on plagues and other lethal epidemics, covering the period from late Antiquity to ca. 1800. We analyze the main environmental and institutional factors that shaped both the way in which a plague originated and spread and its overall demographic and socioeconomic consequences. We clarify how the same pathogen shows historically different epidemiological characteristics, and how apparently similar epidemics could have deeply different consequences. We discuss current debates about the socioeconomic consequences of the Black Death and other plagues. We conclude with historical lessons to understand modern “plagues.”","container-title":"The Journal of Economic History","DOI":"10.1017/S0022050717000092","ISSN":"0022-0507, 1471-6372","issue":"1","journalAbbreviation":"J. Econ. Hist.","language":"en","page":"314-343","source":"DOI.org (Crossref)","title":"Plague and Lethal Epidemics in the Pre-Industrial World","URL":"https://www.cambridge.org/core/product/identifier/S0022050717000092/type/journal_article","volume":"77","author":[{"family":"Alfani","given":"Guido"},{"family":"Murphy","given":"Tommy E."}],"accessed":{"date-parts":[["2022",4,2]]},"issued":{"date-parts":[["2017",3]]}}}],"schema":"https://github.com/citation-style-language/schema/raw/master/csl-citation.json"} </w:instrText>
      </w:r>
      <w:r w:rsidRPr="00C316F8">
        <w:rPr>
          <w:rFonts w:cstheme="minorHAnsi"/>
          <w:sz w:val="24"/>
          <w:szCs w:val="24"/>
        </w:rPr>
        <w:fldChar w:fldCharType="separate"/>
      </w:r>
      <w:r w:rsidR="00F60F21" w:rsidRPr="00C316F8">
        <w:rPr>
          <w:rFonts w:cstheme="minorHAnsi"/>
          <w:sz w:val="24"/>
          <w:szCs w:val="24"/>
          <w:lang w:val="es-CO"/>
        </w:rPr>
        <w:t>(23,25)</w:t>
      </w:r>
      <w:r w:rsidRPr="00C316F8">
        <w:rPr>
          <w:rFonts w:cstheme="minorHAnsi"/>
          <w:sz w:val="24"/>
          <w:szCs w:val="24"/>
        </w:rPr>
        <w:fldChar w:fldCharType="end"/>
      </w:r>
    </w:p>
    <w:p w14:paraId="005E6EDB" w14:textId="7055E325" w:rsidR="00E15DB8" w:rsidRPr="00C316F8" w:rsidRDefault="00705227" w:rsidP="003B711F">
      <w:pPr>
        <w:jc w:val="both"/>
        <w:rPr>
          <w:rFonts w:cstheme="minorHAnsi"/>
          <w:sz w:val="24"/>
          <w:szCs w:val="24"/>
          <w:lang w:val="es-CO"/>
        </w:rPr>
      </w:pPr>
      <w:r w:rsidRPr="00C316F8">
        <w:rPr>
          <w:rFonts w:cstheme="minorHAnsi"/>
          <w:sz w:val="24"/>
          <w:szCs w:val="24"/>
          <w:lang w:val="es-CO"/>
        </w:rPr>
        <w:t xml:space="preserve">En Colombia se ha observado la importancia </w:t>
      </w:r>
      <w:r w:rsidR="00351A68" w:rsidRPr="00C316F8">
        <w:rPr>
          <w:rFonts w:cstheme="minorHAnsi"/>
          <w:sz w:val="24"/>
          <w:szCs w:val="24"/>
          <w:lang w:val="es-CO"/>
        </w:rPr>
        <w:t>de</w:t>
      </w:r>
      <w:r w:rsidRPr="00C316F8">
        <w:rPr>
          <w:rFonts w:cstheme="minorHAnsi"/>
          <w:sz w:val="24"/>
          <w:szCs w:val="24"/>
          <w:lang w:val="es-CO"/>
        </w:rPr>
        <w:t xml:space="preserve"> la inversión pública para el control de enfermedades. Un </w:t>
      </w:r>
      <w:r w:rsidR="0031718A" w:rsidRPr="00C316F8">
        <w:rPr>
          <w:rFonts w:cstheme="minorHAnsi"/>
          <w:sz w:val="24"/>
          <w:szCs w:val="24"/>
          <w:lang w:val="es-CO"/>
        </w:rPr>
        <w:t>ejemplo es</w:t>
      </w:r>
      <w:r w:rsidRPr="00C316F8">
        <w:rPr>
          <w:rFonts w:cstheme="minorHAnsi"/>
          <w:sz w:val="24"/>
          <w:szCs w:val="24"/>
          <w:lang w:val="es-CO"/>
        </w:rPr>
        <w:t xml:space="preserve"> la mayor inversión en acueductos y alcantarillados en la mitad del siglo XX que estuvo relacionada con la disminución de las tasas de mortalidad de enfermedades gastrointestinales como se observa en el estudio de Jaramillo-Echeverri et al. En </w:t>
      </w:r>
      <w:r w:rsidR="00351A68" w:rsidRPr="00C316F8">
        <w:rPr>
          <w:rFonts w:cstheme="minorHAnsi"/>
          <w:sz w:val="24"/>
          <w:szCs w:val="24"/>
          <w:lang w:val="es-CO"/>
        </w:rPr>
        <w:t>este</w:t>
      </w:r>
      <w:r w:rsidRPr="00C316F8">
        <w:rPr>
          <w:rFonts w:cstheme="minorHAnsi"/>
          <w:sz w:val="24"/>
          <w:szCs w:val="24"/>
          <w:lang w:val="es-CO"/>
        </w:rPr>
        <w:t xml:space="preserve"> se identificaron las tendencias de largo plazo en el nivel de vida de la población colombiana durante más de 180 años. Se construyó el Índice Histórico de Desarrollo Humano (HIHD)</w:t>
      </w:r>
      <w:r w:rsidR="00564D7D" w:rsidRPr="00C316F8">
        <w:rPr>
          <w:rFonts w:cstheme="minorHAnsi"/>
          <w:sz w:val="24"/>
          <w:szCs w:val="24"/>
          <w:lang w:val="es-CO"/>
        </w:rPr>
        <w:t>,</w:t>
      </w:r>
      <w:r w:rsidRPr="00C316F8">
        <w:rPr>
          <w:rFonts w:cstheme="minorHAnsi"/>
          <w:sz w:val="24"/>
          <w:szCs w:val="24"/>
          <w:lang w:val="es-CO"/>
        </w:rPr>
        <w:t xml:space="preserve"> encontrándose modestos avances en el índice durante el siglo XIX, siendo la esperanza de vida la dimensión que más contribuyó al Índice de Desarrollo Humano en ese siglo. En cambio, todos los componentes del HIHD mostraron avances significativos durante el siglo XX. En particular, las dimensiones sociales fueron las que más contribuyeron al crecimiento del HIHD en Colombia, y la esperanza de vida fue el principal motor tanto para hombres como para mujeres. Estos logros se explican principalmente por el papel de las políticas públicas dirigidas a la mejora de la educación y la salud. Dado que la esperanza de vida fue la dimensión que más contribuyó al desarrollo humano en el largo plazo, examinaron empíricamente el papel de las mejoras en la provisión de servicios públicos en la significativa reducción de la mortalidad. La hipótesis que se planteó es que la reducción de la mortalidad se produjo en gran medida por las mejoras en la provisión de acueductos y alcantarillado. Para ello, se construyó un nuevo conjunto de datos a partir de las estadísticas reportadas por el gobierno, que incluyen información anual sobre las principales enfermedades y causas de mortalidad durante el periodo 1916-2014 desagregada por departamentos. Los resultados econométricos mostraron que la disminución de las tasas de mortalidad, especialmente las relacionadas con algunas enfermedades de origen hídrico, estuvo significativamente relacionada con la expansión de los servicios de acueducto y alcantarillado en el país</w:t>
      </w:r>
      <w:r w:rsidR="0031718A" w:rsidRPr="00C316F8">
        <w:rPr>
          <w:rFonts w:cstheme="minorHAnsi"/>
          <w:sz w:val="24"/>
          <w:szCs w:val="24"/>
          <w:lang w:val="es-CO"/>
        </w:rPr>
        <w:t>.</w:t>
      </w:r>
      <w:r w:rsidRPr="00C316F8">
        <w:rPr>
          <w:rFonts w:cstheme="minorHAnsi"/>
          <w:sz w:val="24"/>
          <w:szCs w:val="24"/>
          <w:lang w:val="es-CO"/>
        </w:rPr>
        <w:t xml:space="preserve"> </w:t>
      </w:r>
      <w:r w:rsidR="00E15DB8"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{"citationID":"LLNH7iaS","properties":{"formattedCitation":"(23,26)","plainCitation":"(23,26)","noteIndex":0},"citationItems":[{"id":4,"uris":["http://zotero.org/users/5785509/items/4DR3EWB9"],"itemData":{"id":4,"type":"article-journal","container-title":"Revista de la Asociación Uruguaya de Historia Económica-Año X-No. 17-Julio de 2020","journalAbbreviation":"Revista de la Asociación Uruguaya de Historia Económica-Año X-No. 17-Julio de 2020","page":"68","title":"Las pandemias y la economía: lecciones desde la historia económica","author":[{"family":"España","given":"Irina"}],"issued":{"date-parts":[["2020"]]}}},{"id":3,"uris":["http://zotero.org/users/5785509/items/GEJX2KAA"],"itemData":{"id":3,"type":"article-journal","container-title":"Cliometrica","DOI":"10.1007/s11698-018-0181-5","ISSN":"1863-2505, 1863-2513","issue":"3","journalAbbreviation":"Cliometrica","language":"en","page":"323-366","source":"DOI.org (Crossref)","title":"More than 100 years of improvements in living standards: the case of Colombia","title-short":"More than 100 years of improvements in living standards","URL":"http://link.springer.com/10.1007/s11698-018-0181-5","volume":"13","author":[{"family":"Jaramillo-Echeverri","given":"Juliana"},{"family":"Meisel-Roca","given":"Adolfo"},{"family":"Ramírez-Giraldo","given":"María Teresa"}],"accessed":{"date-parts":[["2022",4,2]]},"issued":{"date-parts":[["2019",9]]}}}],"schema":"https://github.com/citation-style-language/schema/raw/master/csl-citation.json"} </w:instrText>
      </w:r>
      <w:r w:rsidR="00E15DB8" w:rsidRPr="00C316F8">
        <w:rPr>
          <w:rFonts w:cstheme="minorHAnsi"/>
          <w:sz w:val="24"/>
          <w:szCs w:val="24"/>
        </w:rPr>
        <w:fldChar w:fldCharType="separate"/>
      </w:r>
      <w:r w:rsidR="00D55555" w:rsidRPr="00C316F8">
        <w:rPr>
          <w:rFonts w:cstheme="minorHAnsi"/>
          <w:sz w:val="24"/>
          <w:szCs w:val="24"/>
          <w:lang w:val="es-CO"/>
        </w:rPr>
        <w:t>(23,26)</w:t>
      </w:r>
      <w:r w:rsidR="00E15DB8" w:rsidRPr="00C316F8">
        <w:rPr>
          <w:rFonts w:cstheme="minorHAnsi"/>
          <w:sz w:val="24"/>
          <w:szCs w:val="24"/>
        </w:rPr>
        <w:fldChar w:fldCharType="end"/>
      </w:r>
    </w:p>
    <w:p w14:paraId="25BF7C69" w14:textId="77777777" w:rsidR="00E15DB8" w:rsidRPr="00C316F8" w:rsidRDefault="00E15DB8" w:rsidP="003B711F">
      <w:pPr>
        <w:jc w:val="both"/>
        <w:rPr>
          <w:rFonts w:cstheme="minorHAnsi"/>
          <w:bCs/>
          <w:sz w:val="24"/>
          <w:szCs w:val="24"/>
          <w:lang w:val="es-CO"/>
        </w:rPr>
      </w:pPr>
    </w:p>
    <w:p w14:paraId="31C76297" w14:textId="2BCD0F04" w:rsidR="00AD5422" w:rsidRPr="00C316F8" w:rsidRDefault="000D19A2" w:rsidP="000D19A2">
      <w:pPr>
        <w:pStyle w:val="Ttulo1"/>
        <w:rPr>
          <w:rFonts w:asciiTheme="minorHAnsi" w:hAnsiTheme="minorHAnsi"/>
          <w:lang w:val="es-ES"/>
        </w:rPr>
      </w:pPr>
      <w:bookmarkStart w:id="10" w:name="_Toc98609668"/>
      <w:bookmarkStart w:id="11" w:name="_Toc105868609"/>
      <w:bookmarkStart w:id="12" w:name="_Toc229834632"/>
      <w:r w:rsidRPr="00C316F8">
        <w:rPr>
          <w:lang w:val="es-ES"/>
        </w:rPr>
        <w:t>3.2</w:t>
      </w:r>
      <w:r w:rsidRPr="00C316F8">
        <w:rPr>
          <w:lang w:val="es-ES"/>
        </w:rPr>
        <w:tab/>
        <w:t>Mortalidad y variables socioeconómicas</w:t>
      </w:r>
      <w:bookmarkEnd w:id="10"/>
      <w:bookmarkEnd w:id="11"/>
      <w:bookmarkEnd w:id="12"/>
    </w:p>
    <w:p w14:paraId="491E027D" w14:textId="77777777" w:rsidR="00AD5422" w:rsidRPr="00C316F8" w:rsidRDefault="00AD5422" w:rsidP="003B711F">
      <w:pPr>
        <w:jc w:val="both"/>
        <w:rPr>
          <w:rFonts w:cstheme="minorHAnsi"/>
          <w:sz w:val="24"/>
          <w:szCs w:val="24"/>
          <w:lang w:val="es-ES"/>
        </w:rPr>
      </w:pPr>
    </w:p>
    <w:p w14:paraId="1F5241C4" w14:textId="53D8E55A" w:rsidR="00AD5422" w:rsidRPr="00C316F8" w:rsidRDefault="001D5BBD" w:rsidP="003B711F">
      <w:pPr>
        <w:jc w:val="both"/>
        <w:rPr>
          <w:rFonts w:cstheme="minorHAnsi"/>
          <w:sz w:val="24"/>
          <w:szCs w:val="24"/>
          <w:lang w:val="es-CO"/>
        </w:rPr>
      </w:pPr>
      <w:r w:rsidRPr="00C316F8">
        <w:rPr>
          <w:rFonts w:cstheme="minorHAnsi"/>
          <w:sz w:val="24"/>
          <w:szCs w:val="24"/>
          <w:lang w:val="es-CO"/>
        </w:rPr>
        <w:lastRenderedPageBreak/>
        <w:t xml:space="preserve">Las estructuras sociales se organizan alrededor de las relaciones de producción, consumo, poder y experiencia. Se desarrollan en un medio ambiente que interactúa a través de la cultura y con diferentes organismos como el Estado y sus estructuras de gobierno, generando interacciones normativas, pero también estructuras de desigualdad. Instituciones y organizaciones sociales se ven afectadas por aspectos demográficos como las migraciones, </w:t>
      </w:r>
      <w:r w:rsidR="00564D7D" w:rsidRPr="00C316F8">
        <w:rPr>
          <w:rFonts w:cstheme="minorHAnsi"/>
          <w:sz w:val="24"/>
          <w:szCs w:val="24"/>
          <w:lang w:val="es-CO"/>
        </w:rPr>
        <w:t>el envejecimiento de la población, el urbanismo, entre otros</w:t>
      </w:r>
      <w:r w:rsidRPr="00C316F8">
        <w:rPr>
          <w:rFonts w:cstheme="minorHAnsi"/>
          <w:sz w:val="24"/>
          <w:szCs w:val="24"/>
          <w:lang w:val="es-CO"/>
        </w:rPr>
        <w:t>.</w:t>
      </w:r>
      <w:r w:rsidR="00AD5422" w:rsidRPr="00C316F8">
        <w:rPr>
          <w:rFonts w:cstheme="minorHAnsi"/>
          <w:sz w:val="24"/>
          <w:szCs w:val="24"/>
          <w:lang w:val="es-CO"/>
        </w:rPr>
        <w:t xml:space="preserve"> </w:t>
      </w:r>
    </w:p>
    <w:p w14:paraId="31B1B334" w14:textId="5996B412" w:rsidR="00AD5422" w:rsidRPr="00C316F8" w:rsidRDefault="00AD5422" w:rsidP="003B711F">
      <w:pPr>
        <w:jc w:val="both"/>
        <w:rPr>
          <w:rFonts w:cstheme="minorHAnsi"/>
          <w:sz w:val="24"/>
          <w:szCs w:val="24"/>
          <w:lang w:val="es-ES"/>
        </w:rPr>
      </w:pPr>
      <w:r w:rsidRPr="00C316F8">
        <w:rPr>
          <w:rFonts w:cstheme="minorHAnsi"/>
          <w:sz w:val="24"/>
          <w:szCs w:val="24"/>
          <w:lang w:val="es-ES"/>
        </w:rPr>
        <w:t xml:space="preserve">La interacción entre los factores sociales y económicos </w:t>
      </w:r>
      <w:r w:rsidR="007B4AE6" w:rsidRPr="00C316F8">
        <w:rPr>
          <w:rFonts w:cstheme="minorHAnsi"/>
          <w:sz w:val="24"/>
          <w:szCs w:val="24"/>
          <w:lang w:val="es-ES"/>
        </w:rPr>
        <w:t>asociados</w:t>
      </w:r>
      <w:r w:rsidRPr="00C316F8">
        <w:rPr>
          <w:rFonts w:cstheme="minorHAnsi"/>
          <w:sz w:val="24"/>
          <w:szCs w:val="24"/>
          <w:lang w:val="es-ES"/>
        </w:rPr>
        <w:t xml:space="preserve"> a los cambios políticos y culturales son parte fundamental en la estructura de las sociedades. Bajo el modelo capitalista, la propiedad privada y los medios de producción hacen una división entre quienes los tienen y quienes no</w:t>
      </w:r>
      <w:r w:rsidR="009672C2" w:rsidRPr="00C316F8">
        <w:rPr>
          <w:rFonts w:cstheme="minorHAnsi"/>
          <w:sz w:val="24"/>
          <w:szCs w:val="24"/>
          <w:lang w:val="es-ES"/>
        </w:rPr>
        <w:t>,</w:t>
      </w:r>
      <w:r w:rsidRPr="00C316F8">
        <w:rPr>
          <w:rFonts w:cstheme="minorHAnsi"/>
          <w:sz w:val="24"/>
          <w:szCs w:val="24"/>
          <w:lang w:val="es-ES"/>
        </w:rPr>
        <w:t xml:space="preserve"> generando así desigualdades no solo económicas sino también sociales. La interacción entre las políticas sociales, la seguridad social y el empleo genera tensiones de manera desigual en la sociedad</w:t>
      </w:r>
      <w:r w:rsidR="009442B9"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961D28" w:rsidRPr="00C316F8">
        <w:rPr>
          <w:rFonts w:cstheme="minorHAnsi"/>
          <w:sz w:val="24"/>
          <w:szCs w:val="24"/>
          <w:lang w:val="es-ES"/>
        </w:rPr>
        <w:instrText xml:space="preserve"> ADDIN ZOTERO_ITEM CSL_CITATION {"citationID":"q2qgwfqC","properties":{"formattedCitation":"(27)","plainCitation":"(27)","noteIndex":0},"citationItems":[{"id":63,"uris":["http://zotero.org/users/5785509/items/5W9TP73G"],"itemData":{"id":63,"type":"article-journal","language":"es","page":"8","source":"Zotero","title":"Distinción y diferenciación. Las clases sociales desde la mirada de las trayectorias intergeneracionales de movilidad y las representaciones sobre la cuestión social","author":[{"family":"Pla","given":"Jésica"}]}}],"schema":"https://github.com/citation-style-language/schema/raw/master/csl-citation.json"} </w:instrText>
      </w:r>
      <w:r w:rsidRPr="00C316F8">
        <w:rPr>
          <w:rFonts w:cstheme="minorHAnsi"/>
          <w:sz w:val="24"/>
          <w:szCs w:val="24"/>
          <w:lang w:val="es-ES"/>
        </w:rPr>
        <w:fldChar w:fldCharType="separate"/>
      </w:r>
      <w:r w:rsidR="00707240" w:rsidRPr="00C316F8">
        <w:rPr>
          <w:rFonts w:cstheme="minorHAnsi"/>
          <w:sz w:val="24"/>
          <w:szCs w:val="24"/>
          <w:lang w:val="es-CO"/>
        </w:rPr>
        <w:t>(27)</w:t>
      </w:r>
      <w:r w:rsidRPr="00C316F8">
        <w:rPr>
          <w:rFonts w:cstheme="minorHAnsi"/>
          <w:sz w:val="24"/>
          <w:szCs w:val="24"/>
          <w:lang w:val="es-ES"/>
        </w:rPr>
        <w:fldChar w:fldCharType="end"/>
      </w:r>
    </w:p>
    <w:p w14:paraId="40CA635A" w14:textId="71650644" w:rsidR="00AD5422" w:rsidRPr="00C316F8" w:rsidRDefault="00571C6B" w:rsidP="003B711F">
      <w:pPr>
        <w:jc w:val="both"/>
        <w:rPr>
          <w:rFonts w:cstheme="minorHAnsi"/>
          <w:noProof/>
          <w:sz w:val="24"/>
          <w:szCs w:val="24"/>
          <w:lang w:val="es-CO"/>
        </w:rPr>
      </w:pPr>
      <w:r w:rsidRPr="00C316F8">
        <w:rPr>
          <w:rFonts w:cstheme="minorHAnsi"/>
          <w:sz w:val="24"/>
          <w:szCs w:val="24"/>
          <w:lang w:val="es-ES"/>
        </w:rPr>
        <w:t>En el siglo XX, en Estados Unidos y otros países de altos ingresos, el crecimiento económico redujo la mortalidad y aumentó la esperanza de vida</w:t>
      </w:r>
      <w:r w:rsidR="002B0ACE" w:rsidRPr="00C316F8">
        <w:rPr>
          <w:rFonts w:cstheme="minorHAnsi"/>
          <w:sz w:val="24"/>
          <w:szCs w:val="24"/>
          <w:lang w:val="es-ES"/>
        </w:rPr>
        <w:t xml:space="preserve"> </w:t>
      </w:r>
      <w:r w:rsidR="00AD5422"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{"citationID":"ffZcKhut","properties":{"formattedCitation":"(28)","plainCitation":"(28)","noteIndex":0},"citationItems":[{"id":62,"uris":["http://zotero.org/users/5785509/items/ZH5RF6TW"],"itemData":{"id":62,"type":"article-journal","abstract":"The pleasures of life are worth nothing if one is not alive to experience them. Through the twentieth century in the United States and other high-income countries, growth in real incomes was accompanied by a historically unprecedented decline in mortality rates that caused life expectancy at birth to grow by nearly 30 years. In the years just after World War II, life expectancy gaps between countries were falling across the world. Poor countries enjoyed rapid increases in life-expectancy through the 1970s, with the gains in some cases exceeding an additional year of life expectancy per year, though the HIV/AIDS epidemic and the transition in Russia and Eastern Europe have changed that situation. We investigate the determinants of the historical decline in mortality, of differences in mortality across countries, and of differences in mortality across groups within countries. A good theory of mortality should explain all of the facts we will outline. No such theory exists at present, but at the end of the paper we will sketch a tentative synthesis.","container-title":"Journal of Economic Perspectives","DOI":"10.1257/jep.20.3.97","ISSN":"0895-3309","issue":"3","journalAbbreviation":"Journal of Economic Perspectives","language":"en","page":"97-120","source":"DOI.org (Crossref)","title":"The Determinants of Mortality","URL":"https://pubs.aeaweb.org/doi/10.1257/jep.20.3.97","volume":"20","author":[{"family":"Cutler","given":"David"},{"family":"Deaton","given":"Angus"},{"family":"Lleras-Muney","given":"Adriana"}],"accessed":{"date-parts":[["2022",2,20]]},"issued":{"date-parts":[["2006",5,1]]}}}],"schema":"https://github.com/citation-style-language/schema/raw/master/csl-citation.json"} </w:instrText>
      </w:r>
      <w:r w:rsidR="00AD5422" w:rsidRPr="00C316F8">
        <w:rPr>
          <w:rFonts w:cstheme="minorHAnsi"/>
          <w:sz w:val="24"/>
          <w:szCs w:val="24"/>
          <w:lang w:val="es-ES"/>
        </w:rPr>
        <w:fldChar w:fldCharType="separate"/>
      </w:r>
      <w:r w:rsidR="00707240" w:rsidRPr="00C316F8">
        <w:rPr>
          <w:rFonts w:cstheme="minorHAnsi"/>
          <w:sz w:val="24"/>
          <w:szCs w:val="24"/>
          <w:lang w:val="es-CO"/>
        </w:rPr>
        <w:t>(28)</w:t>
      </w:r>
      <w:r w:rsidR="00AD5422" w:rsidRPr="00C316F8">
        <w:rPr>
          <w:rFonts w:cstheme="minorHAnsi"/>
          <w:sz w:val="24"/>
          <w:szCs w:val="24"/>
          <w:lang w:val="es-ES"/>
        </w:rPr>
        <w:fldChar w:fldCharType="end"/>
      </w:r>
      <w:r w:rsidR="00D23D11" w:rsidRPr="00C316F8">
        <w:rPr>
          <w:rFonts w:cstheme="minorHAnsi"/>
          <w:sz w:val="24"/>
          <w:szCs w:val="24"/>
          <w:lang w:val="es-ES"/>
        </w:rPr>
        <w:t>.</w:t>
      </w:r>
      <w:r w:rsidRPr="00C316F8">
        <w:rPr>
          <w:rFonts w:cstheme="minorHAnsi"/>
          <w:sz w:val="24"/>
          <w:szCs w:val="24"/>
          <w:lang w:val="es-ES"/>
        </w:rPr>
        <w:t xml:space="preserve"> </w:t>
      </w:r>
      <w:r w:rsidR="007B5C34" w:rsidRPr="00C316F8">
        <w:rPr>
          <w:rFonts w:cstheme="minorHAnsi"/>
          <w:sz w:val="24"/>
          <w:szCs w:val="24"/>
          <w:lang w:val="es-ES"/>
        </w:rPr>
        <w:t xml:space="preserve"> En los países pobres, el incremento del ingreso promedio mejora inicialmente la longevidad, aunque a medida que el ingreso per cápita crece, la relación se debilita o desaparece</w:t>
      </w:r>
      <w:r w:rsidR="002B0ACE" w:rsidRPr="00C316F8">
        <w:rPr>
          <w:rFonts w:cstheme="minorHAnsi"/>
          <w:sz w:val="24"/>
          <w:szCs w:val="24"/>
          <w:lang w:val="es-ES"/>
        </w:rPr>
        <w:t xml:space="preserve"> </w:t>
      </w:r>
      <w:r w:rsidR="00AD5422"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Hzf9gQRX","properties":{"formattedCitation":"(29)","plainCitation":"(29)","noteIndex":0},"citationItems":[{"id":59,"uris":["http://zotero.org/users/5785509/items/AV9ATY4S"],"itemData":{"id":59,"type":"report","DOI":"10.3386/w8318","language":"en","number":"w8318","page":"w8318","publisher":"National Bureau of Economic Research","publisher-place":"Cambridge, MA","source":"DOI.org (Crossref)","title":"Health, Inequality, and Economic Development","URL":"http://www.nber.org/papers/w8318.pdf","author":[{"family":"Deaton","given":"Angus"}],"accessed":{"date-parts":[["2022",2,20]]},"issued":{"date-parts":[["2001",6]]}}}],"schema":"https://github.com/citation-style-language/schema/raw/master/csl-citation.json"} </w:instrText>
      </w:r>
      <w:r w:rsidR="00AD5422" w:rsidRPr="00C316F8">
        <w:rPr>
          <w:rFonts w:cstheme="minorHAnsi"/>
          <w:sz w:val="24"/>
          <w:szCs w:val="24"/>
          <w:lang w:val="es-ES"/>
        </w:rPr>
        <w:fldChar w:fldCharType="separate"/>
      </w:r>
      <w:r w:rsidR="00707240" w:rsidRPr="00C316F8">
        <w:rPr>
          <w:rFonts w:cstheme="minorHAnsi"/>
          <w:sz w:val="24"/>
          <w:szCs w:val="24"/>
          <w:lang w:val="es-CO"/>
        </w:rPr>
        <w:t>(29)</w:t>
      </w:r>
      <w:r w:rsidR="00AD5422" w:rsidRPr="00C316F8">
        <w:rPr>
          <w:rFonts w:cstheme="minorHAnsi"/>
          <w:sz w:val="24"/>
          <w:szCs w:val="24"/>
          <w:lang w:val="es-ES"/>
        </w:rPr>
        <w:fldChar w:fldCharType="end"/>
      </w:r>
      <w:r w:rsidR="000B393B" w:rsidRPr="00C316F8">
        <w:rPr>
          <w:rFonts w:cstheme="minorHAnsi"/>
          <w:sz w:val="24"/>
          <w:szCs w:val="24"/>
          <w:lang w:val="es-ES"/>
        </w:rPr>
        <w:t>.</w:t>
      </w:r>
      <w:r w:rsidR="00AD5422" w:rsidRPr="00C316F8">
        <w:rPr>
          <w:rFonts w:cstheme="minorHAnsi"/>
          <w:sz w:val="24"/>
          <w:szCs w:val="24"/>
          <w:lang w:val="es-ES"/>
        </w:rPr>
        <w:t xml:space="preserve"> La desigualdad en el ingreso y el riesgo para la salud fue inicialmente propuesta con la curva de Preston en 1975 (</w:t>
      </w:r>
      <w:r w:rsidR="00FD5E30" w:rsidRPr="00C316F8">
        <w:rPr>
          <w:rFonts w:cstheme="minorHAnsi"/>
          <w:sz w:val="24"/>
          <w:szCs w:val="24"/>
          <w:lang w:val="es-ES"/>
        </w:rPr>
        <w:t>Figura</w:t>
      </w:r>
      <w:r w:rsidR="00AD5422" w:rsidRPr="00C316F8">
        <w:rPr>
          <w:rFonts w:cstheme="minorHAnsi"/>
          <w:sz w:val="24"/>
          <w:szCs w:val="24"/>
          <w:lang w:val="es-ES"/>
        </w:rPr>
        <w:t xml:space="preserve"> 1)</w:t>
      </w:r>
      <w:r w:rsidR="009672C2" w:rsidRPr="00C316F8">
        <w:rPr>
          <w:rFonts w:cstheme="minorHAnsi"/>
          <w:sz w:val="24"/>
          <w:szCs w:val="24"/>
          <w:lang w:val="es-ES"/>
        </w:rPr>
        <w:t>,</w:t>
      </w:r>
      <w:r w:rsidR="00AD5422" w:rsidRPr="00C316F8">
        <w:rPr>
          <w:rFonts w:cstheme="minorHAnsi"/>
          <w:sz w:val="24"/>
          <w:szCs w:val="24"/>
          <w:lang w:val="es-ES"/>
        </w:rPr>
        <w:t xml:space="preserve"> en donde presentó una relación empírica entre la expectativa de vida y el ingreso per cápita</w:t>
      </w:r>
      <w:r w:rsidR="00743355" w:rsidRPr="00C316F8">
        <w:rPr>
          <w:rFonts w:cstheme="minorHAnsi"/>
          <w:sz w:val="24"/>
          <w:szCs w:val="24"/>
          <w:lang w:val="es-ES"/>
        </w:rPr>
        <w:t xml:space="preserve">, que relaciona el PIB per cápita con la esperanza de vida. </w:t>
      </w:r>
      <w:r w:rsidR="00590DE8" w:rsidRPr="00C316F8">
        <w:rPr>
          <w:rFonts w:cstheme="minorHAnsi"/>
          <w:sz w:val="24"/>
          <w:szCs w:val="24"/>
          <w:lang w:val="es-ES"/>
        </w:rPr>
        <w:t>En países de bajos ingresos, incrementos modestos en el ingreso generan mejoras significativas en la longevidad, mientras que en los países de ingresos altos la curva se aplana. Este aplanamiento no significa que el ingreso pierda su poder sobre la salud, sino que refleja límites biológicos inherentes a la naturaleza humana: la esperanza de vida tiene rendimientos marginalmente decrecientes porque existen condiciones fisiológicas —el envejecimiento celular, la acumulación de daño genético y la senescencia— que ningún nivel de riqueza puede superar indefinidamente. Así, los avances en longevidad en poblaciones de altos ingresos dependen cada vez menos del ingreso adicional y cada vez más de innovaciones médicas, condiciones ambientales y factores genéticos. Esta distinción es fundamental para interpretar correctamente las desigualdades en salud: en Colombia, dado su nivel de desarrollo, el ingreso y la pobreza multidimensional conservan aún un poder explicativo alto sobre la mortalidad, ubicando al país en la parte de la curva donde las intervenciones socioeconómicas tienen mayor rendimiento potencial.</w:t>
      </w:r>
    </w:p>
    <w:p w14:paraId="0560362C" w14:textId="6C91A547" w:rsidR="00155E8A" w:rsidRPr="00C316F8" w:rsidRDefault="00FD5E30" w:rsidP="005E1533">
      <w:pPr>
        <w:pStyle w:val="Descripcin"/>
        <w:rPr>
          <w:rFonts w:asciiTheme="minorHAnsi" w:hAnsiTheme="minorHAnsi" w:cstheme="minorHAnsi"/>
          <w:i w:val="0"/>
          <w:iCs w:val="0"/>
          <w:sz w:val="24"/>
          <w:szCs w:val="24"/>
          <w:lang w:val="es-ES"/>
        </w:rPr>
      </w:pPr>
      <w:bookmarkStart w:id="13" w:name="_Toc229834706"/>
      <w:r w:rsidRPr="00C316F8">
        <w:rPr>
          <w:rFonts w:ascii="Calibri" w:hAnsi="Calibri" w:cs="Calibri"/>
          <w:b/>
          <w:bCs/>
          <w:i w:val="0"/>
          <w:iCs w:val="0"/>
          <w:color w:val="auto"/>
          <w:sz w:val="24"/>
          <w:szCs w:val="24"/>
        </w:rPr>
        <w:t xml:space="preserve">Figura </w:t>
      </w:r>
      <w:r w:rsidRPr="00C316F8">
        <w:rPr>
          <w:rFonts w:ascii="Calibri" w:hAnsi="Calibri" w:cs="Calibri"/>
          <w:b/>
          <w:bCs/>
          <w:i w:val="0"/>
          <w:iCs w:val="0"/>
          <w:color w:val="auto"/>
          <w:sz w:val="24"/>
          <w:szCs w:val="24"/>
        </w:rPr>
        <w:fldChar w:fldCharType="begin"/>
      </w:r>
      <w:r w:rsidRPr="00C316F8">
        <w:rPr>
          <w:rFonts w:ascii="Calibri" w:hAnsi="Calibri" w:cs="Calibri"/>
          <w:b/>
          <w:bCs/>
          <w:i w:val="0"/>
          <w:iCs w:val="0"/>
          <w:color w:val="auto"/>
          <w:sz w:val="24"/>
          <w:szCs w:val="24"/>
        </w:rPr>
        <w:instrText xml:space="preserve"> SEQ Figura \* ARABIC </w:instrText>
      </w:r>
      <w:r w:rsidRPr="00C316F8">
        <w:rPr>
          <w:rFonts w:ascii="Calibri" w:hAnsi="Calibri" w:cs="Calibri"/>
          <w:b/>
          <w:bCs/>
          <w:i w:val="0"/>
          <w:iCs w:val="0"/>
          <w:color w:val="auto"/>
          <w:sz w:val="24"/>
          <w:szCs w:val="24"/>
        </w:rPr>
        <w:fldChar w:fldCharType="separate"/>
      </w:r>
      <w:r w:rsidR="00432859" w:rsidRPr="00C316F8">
        <w:rPr>
          <w:rFonts w:ascii="Calibri" w:hAnsi="Calibri" w:cs="Calibri"/>
          <w:b/>
          <w:bCs/>
          <w:i w:val="0"/>
          <w:iCs w:val="0"/>
          <w:noProof/>
          <w:color w:val="auto"/>
          <w:sz w:val="24"/>
          <w:szCs w:val="24"/>
        </w:rPr>
        <w:t>1</w:t>
      </w:r>
      <w:r w:rsidRPr="00C316F8">
        <w:rPr>
          <w:rFonts w:ascii="Calibri" w:hAnsi="Calibri" w:cs="Calibri"/>
          <w:b/>
          <w:bCs/>
          <w:i w:val="0"/>
          <w:iCs w:val="0"/>
          <w:color w:val="auto"/>
          <w:sz w:val="24"/>
          <w:szCs w:val="24"/>
        </w:rPr>
        <w:fldChar w:fldCharType="end"/>
      </w:r>
      <w:r w:rsidRPr="00C316F8">
        <w:rPr>
          <w:rFonts w:ascii="Calibri" w:hAnsi="Calibri" w:cs="Calibri"/>
          <w:b/>
          <w:bCs/>
          <w:i w:val="0"/>
          <w:iCs w:val="0"/>
          <w:color w:val="auto"/>
          <w:sz w:val="24"/>
          <w:szCs w:val="24"/>
        </w:rPr>
        <w:t>. Curva de Preston</w:t>
      </w:r>
      <w:r w:rsidR="005E1533" w:rsidRPr="00C316F8">
        <w:rPr>
          <w:rFonts w:ascii="Calibri" w:hAnsi="Calibri" w:cs="Calibri"/>
          <w:b/>
          <w:bCs/>
          <w:i w:val="0"/>
          <w:iCs w:val="0"/>
          <w:color w:val="auto"/>
          <w:sz w:val="24"/>
          <w:szCs w:val="24"/>
        </w:rPr>
        <w:t xml:space="preserve"> </w:t>
      </w:r>
      <w:bookmarkStart w:id="14" w:name="_Hlk210062278"/>
      <w:r w:rsidR="00155E8A" w:rsidRPr="00C316F8">
        <w:rPr>
          <w:rFonts w:asciiTheme="minorHAnsi" w:hAnsiTheme="minorHAnsi" w:cstheme="minorHAnsi"/>
          <w:i w:val="0"/>
          <w:iCs w:val="0"/>
          <w:color w:val="auto"/>
          <w:sz w:val="24"/>
          <w:szCs w:val="24"/>
          <w:lang w:val="es-ES"/>
        </w:rPr>
        <w:fldChar w:fldCharType="begin"/>
      </w:r>
      <w:r w:rsidR="00CD2033" w:rsidRPr="00C316F8">
        <w:rPr>
          <w:rFonts w:asciiTheme="minorHAnsi" w:hAnsiTheme="minorHAnsi" w:cstheme="minorHAnsi"/>
          <w:i w:val="0"/>
          <w:iCs w:val="0"/>
          <w:color w:val="auto"/>
          <w:sz w:val="24"/>
          <w:szCs w:val="24"/>
          <w:lang w:val="es-ES"/>
        </w:rPr>
        <w:instrText xml:space="preserve"> ADDIN ZOTERO_ITEM CSL_CITATION {"citationID":"lc04rR6n","properties":{"formattedCitation":"(30)","plainCitation":"(30)","noteIndex":0},"citationItems":[{"id":60,"uris":["http://zotero.org/users/5785509/items/FNRPHHLJ"],"itemData":{"id":60,"type":"article-journal","container-title":"Journal of Economic Literature","DOI":"10.1257/jel.41.1.113","ISSN":"0022-0515","issue":"1","journalAbbreviation":"Journal of Economic Literature","language":"en","page":"113-158","source":"DOI.org (Crossref)","title":"Health, Inequality, and Economic Development","URL":"http://pubs.aeaweb.org/doi/abs/10.1257/002205103321544710","volume":"41","author":[{"family":"Deaton","given":"Angus"}],"accessed":{"date-parts":[["2022",2,20]]},"issued":{"date-parts":[["2003",3]]}}}],"schema":"https://github.com/citation-style-language/schema/raw/master/csl-citation.json"} </w:instrText>
      </w:r>
      <w:r w:rsidR="00155E8A" w:rsidRPr="00C316F8">
        <w:rPr>
          <w:rFonts w:asciiTheme="minorHAnsi" w:hAnsiTheme="minorHAnsi" w:cstheme="minorHAnsi"/>
          <w:i w:val="0"/>
          <w:iCs w:val="0"/>
          <w:color w:val="auto"/>
          <w:sz w:val="24"/>
          <w:szCs w:val="24"/>
          <w:lang w:val="es-ES"/>
        </w:rPr>
        <w:fldChar w:fldCharType="separate"/>
      </w:r>
      <w:r w:rsidR="00707240" w:rsidRPr="00C316F8">
        <w:rPr>
          <w:rFonts w:asciiTheme="minorHAnsi" w:hAnsiTheme="minorHAnsi" w:cstheme="minorHAnsi"/>
          <w:i w:val="0"/>
          <w:iCs w:val="0"/>
          <w:color w:val="auto"/>
          <w:sz w:val="24"/>
          <w:szCs w:val="24"/>
        </w:rPr>
        <w:t>(30)</w:t>
      </w:r>
      <w:bookmarkEnd w:id="13"/>
      <w:r w:rsidR="00155E8A" w:rsidRPr="00C316F8">
        <w:rPr>
          <w:rFonts w:asciiTheme="minorHAnsi" w:hAnsiTheme="minorHAnsi" w:cstheme="minorHAnsi"/>
          <w:i w:val="0"/>
          <w:iCs w:val="0"/>
          <w:color w:val="auto"/>
          <w:sz w:val="24"/>
          <w:szCs w:val="24"/>
          <w:lang w:val="es-ES"/>
        </w:rPr>
        <w:fldChar w:fldCharType="end"/>
      </w:r>
      <w:bookmarkEnd w:id="14"/>
    </w:p>
    <w:p w14:paraId="3A4A4462" w14:textId="77777777" w:rsidR="00AD5422" w:rsidRPr="00C316F8" w:rsidRDefault="00AD5422" w:rsidP="003B711F">
      <w:pPr>
        <w:jc w:val="both"/>
        <w:rPr>
          <w:rFonts w:cstheme="minorHAnsi"/>
          <w:sz w:val="24"/>
          <w:szCs w:val="24"/>
          <w:lang w:val="es-ES"/>
        </w:rPr>
      </w:pPr>
      <w:r w:rsidRPr="00C316F8">
        <w:rPr>
          <w:rFonts w:cstheme="minorHAnsi"/>
          <w:noProof/>
          <w:sz w:val="24"/>
          <w:szCs w:val="24"/>
        </w:rPr>
        <w:lastRenderedPageBreak/>
        <w:drawing>
          <wp:inline distT="0" distB="0" distL="0" distR="0" wp14:anchorId="569D29FB" wp14:editId="66606FBA">
            <wp:extent cx="3962400" cy="2333625"/>
            <wp:effectExtent l="0" t="0" r="0" b="9525"/>
            <wp:docPr id="8" name="Imagen 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Diagrama&#10;&#10;Descripción generada automáticamente"/>
                    <pic:cNvPicPr/>
                  </pic:nvPicPr>
                  <pic:blipFill>
                    <a:blip r:embed="rId9"/>
                    <a:stretch>
                      <a:fillRect/>
                    </a:stretch>
                  </pic:blipFill>
                  <pic:spPr>
                    <a:xfrm>
                      <a:off x="0" y="0"/>
                      <a:ext cx="3974311" cy="2340640"/>
                    </a:xfrm>
                    <a:prstGeom prst="rect">
                      <a:avLst/>
                    </a:prstGeom>
                    <a:effectLst>
                      <a:softEdge rad="12700"/>
                    </a:effectLst>
                  </pic:spPr>
                </pic:pic>
              </a:graphicData>
            </a:graphic>
          </wp:inline>
        </w:drawing>
      </w:r>
    </w:p>
    <w:p w14:paraId="5F4B45F8" w14:textId="77777777" w:rsidR="00AD5422" w:rsidRPr="00C316F8" w:rsidRDefault="00AD5422" w:rsidP="003B711F">
      <w:pPr>
        <w:jc w:val="both"/>
        <w:rPr>
          <w:rFonts w:cstheme="minorHAnsi"/>
          <w:sz w:val="24"/>
          <w:szCs w:val="24"/>
          <w:lang w:val="es-ES"/>
        </w:rPr>
      </w:pPr>
    </w:p>
    <w:p w14:paraId="5B032D6B" w14:textId="77777777" w:rsidR="007B0F53" w:rsidRPr="00C316F8" w:rsidRDefault="007B0F53" w:rsidP="003B711F">
      <w:pPr>
        <w:jc w:val="both"/>
        <w:rPr>
          <w:rFonts w:cstheme="minorHAnsi"/>
          <w:sz w:val="24"/>
          <w:szCs w:val="24"/>
          <w:lang w:val="es-ES"/>
        </w:rPr>
      </w:pPr>
      <w:r w:rsidRPr="00C316F8">
        <w:rPr>
          <w:rFonts w:cstheme="minorHAnsi"/>
          <w:sz w:val="24"/>
          <w:szCs w:val="24"/>
          <w:lang w:val="es-ES"/>
        </w:rPr>
        <w:t>Existen diversas razones para vincular el estado socioeconómico con la mortalidad. Un ejemplo es el incremento de la desigualdad en el ingreso y la concentración de la riqueza en los hogares de mayores recursos, lo que ha ampliado las disparidades en los niveles de mortalidad y esperanza de vida.</w:t>
      </w:r>
    </w:p>
    <w:p w14:paraId="481A4B5C" w14:textId="260F7BFB" w:rsidR="003E2F53" w:rsidRPr="00C316F8" w:rsidRDefault="00AD5422" w:rsidP="003B711F">
      <w:pPr>
        <w:jc w:val="both"/>
        <w:rPr>
          <w:rFonts w:cstheme="minorHAnsi"/>
          <w:sz w:val="24"/>
          <w:szCs w:val="24"/>
          <w:lang w:val="es-CO"/>
        </w:rPr>
      </w:pPr>
      <w:r w:rsidRPr="00C316F8">
        <w:rPr>
          <w:rFonts w:cstheme="minorHAnsi"/>
          <w:sz w:val="24"/>
          <w:szCs w:val="24"/>
          <w:lang w:val="es-ES"/>
        </w:rPr>
        <w:t>El estado socioeconómico ubica a la persona en un estado jerárquico con una estructura social de donde se deriva la noción de clase, Estado y poder. Es así como los sociólogos perciben el estado socioeconómico como bienestar financiero y nivel de educación.</w:t>
      </w:r>
      <w:r w:rsidR="003E2F53" w:rsidRPr="00C316F8">
        <w:rPr>
          <w:rFonts w:cstheme="minorHAnsi"/>
          <w:sz w:val="24"/>
          <w:szCs w:val="24"/>
          <w:lang w:val="es-ES"/>
        </w:rPr>
        <w:t xml:space="preserve"> </w:t>
      </w:r>
      <w:r w:rsidR="003E2F53" w:rsidRPr="00C316F8">
        <w:rPr>
          <w:lang w:val="es-CO"/>
        </w:rPr>
        <w:t xml:space="preserve">Esta clasificación, propuesta por Bosworth </w:t>
      </w:r>
      <w:r w:rsidR="003E2F53"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{"citationID":"x4iSOLzr","properties":{"formattedCitation":"(31)","plainCitation":"(31)","noteIndex":0},"citationItems":[{"id":55,"uris":["http://zotero.org/users/5785509/items/H2FLXKWA"],"itemData":{"id":55,"type":"article-journal","abstract":"This review focuses on the widening disparities in death rates by socioeconomic class. In recent years, there has been a major increase in the availability of data linking mortality risk and measures of socioeconomic status. The result has been a virtual explosion of new empirical research showing not only the existence of large inequities in the risk of death between those at the top and those at the bottom of the socioeconomic distribution, but also that the gaps have been growing. This assessment of the empirical research finds a consistent pattern of growing disparities within the United States. However, this widening gap in death rates does appear to be a uniquely American phenomenon, as the disparities by socioeconomic class appear to be stable or even declining in Europe and Canada.","container-title":"Annual Review of Public Health","DOI":"10.1146/annurev-publhealth-040617-014615","ISSN":"0163-7525, 1545-2093","issue":"1","journalAbbreviation":"Annu. Rev. Public Health","language":"en","page":"237-251","source":"DOI.org (Crossref)","title":"Increasing Disparities in Mortality by Socioeconomic Status","URL":"https://www.annualreviews.org/doi/10.1146/annurev-publhealth-040617-014615","volume":"39","author":[{"family":"Bosworth","given":"Barry"}],"accessed":{"date-parts":[["2022",2,21]]},"issued":{"date-parts":[["2018",4,1]]}}}],"schema":"https://github.com/citation-style-language/schema/raw/master/csl-citation.json"} </w:instrText>
      </w:r>
      <w:r w:rsidR="003E2F53" w:rsidRPr="00C316F8">
        <w:rPr>
          <w:rFonts w:cstheme="minorHAnsi"/>
          <w:sz w:val="24"/>
          <w:szCs w:val="24"/>
          <w:lang w:val="es-ES"/>
        </w:rPr>
        <w:fldChar w:fldCharType="separate"/>
      </w:r>
      <w:r w:rsidR="003E2F53" w:rsidRPr="00C316F8">
        <w:rPr>
          <w:rFonts w:cstheme="minorHAnsi"/>
          <w:sz w:val="24"/>
          <w:szCs w:val="24"/>
          <w:lang w:val="es-CO"/>
        </w:rPr>
        <w:t>(31)</w:t>
      </w:r>
      <w:r w:rsidR="003E2F53" w:rsidRPr="00C316F8">
        <w:rPr>
          <w:rFonts w:cstheme="minorHAnsi"/>
          <w:sz w:val="24"/>
          <w:szCs w:val="24"/>
          <w:lang w:val="es-ES"/>
        </w:rPr>
        <w:fldChar w:fldCharType="end"/>
      </w:r>
      <w:r w:rsidR="00EB05AB" w:rsidRPr="00C316F8">
        <w:rPr>
          <w:rFonts w:cstheme="minorHAnsi"/>
          <w:sz w:val="24"/>
          <w:szCs w:val="24"/>
          <w:lang w:val="es-ES"/>
        </w:rPr>
        <w:t xml:space="preserve"> </w:t>
      </w:r>
      <w:r w:rsidR="00EB05AB" w:rsidRPr="00C316F8">
        <w:rPr>
          <w:lang w:val="es-CO"/>
        </w:rPr>
        <w:t xml:space="preserve">, es ampliamente utilizada en la literatura de determinantes sociales de la salud. Sin embargo, es importante reconocer que estos cinco indicadores no son ortogonales entre sí —es decir, no son independientes—: el ingreso y la riqueza son dimensiones constitutivas del estado socioeconómico y están fuertemente correlacionadas entre sí, mientras que la ocupación determina en gran medida el nivel de ingreso. Esta interdependencia implica que, en estudios empíricos, incluirlos simultáneamente como variables independientes genera problemas de multicolinealidad. En la presente tesis, esta limitación se resuelve mediante el uso del CMPI, que integra estas dimensiones en un índice compuesto construido con el método Alkire-Foster, evitando la redundancia analítica al ponderar cada privación de manera diferenciada dentro de un marco multidimensional coherente. </w:t>
      </w:r>
      <w:r w:rsidR="00CD2033" w:rsidRPr="00C316F8">
        <w:rPr>
          <w:lang w:val="es-CO"/>
        </w:rPr>
        <w:fldChar w:fldCharType="begin"/>
      </w:r>
      <w:r w:rsidR="00CD2033" w:rsidRPr="00C316F8">
        <w:rPr>
          <w:lang w:val="es-CO"/>
        </w:rPr>
        <w:instrText xml:space="preserve"> ADDIN ZOTERO_ITEM CSL_CITATION {"citationID":"U5XTEtQ2","properties":{"unsorted":false,"formattedCitation":"(7,8,32)","plainCitation":"(7,8,32)","noteIndex":0},"citationItems":[{"id":497,"uris":["http://zotero.org/users/5785509/items/6M723RS8"],"itemData":{"id":497,"type":"webpage","title":"Colombia | MPPN","URL":"https://mppn.org/es/paises_participantes/colombia/","accessed":{"date-parts":[["2022",4,2]]}}},{"id":1469,"uris":["http://zotero.org/users/5785509/items/5HJ8WB8B"],"itemData":{"id":1469,"type":"article-journal","container-title":"Journal of Public Economics","DOI":"10.1016/j.jpubeco.2010.11.006","ISSN":"00472727","issue":"7-8","journalAbbreviation":"Journal of Public Economics","language":"en","page":"476-487","source":"DOI.org (Crossref)","title":"Counting and multidimensional poverty measurement","URL":"https://linkinghub.elsevier.com/retrieve/pii/S0047272710001660","volume":"95","author":[{"family":"Alkire","given":"Sabina"},{"family":"Foster","given":"James"}],"accessed":{"date-parts":[["2024",3,16]]},"issued":{"date-parts":[["2011",8]]}}},{"id":496,"uris":["http://zotero.org/users/5785509/items/ELRA8SZN"],"itemData":{"id":496,"type":"article-journal","abstract":"Previous multidimensional indicators adopted in Colombian, as the Unmet Basic Needs or the Living Conditions Index, lose their policy relevance and arguably have become poor instruments for poverty measurement. This paper presents the Colombian Multidimensional Poverty Index (CMPI), a synthetic indicator that overcomes the methodological problems that arose from previous multidimensional indices, and that has a broad public policy scope of use. The CMPI is based on the methodology of Alkire and Foster (2011a); is composed of five dimensions (education of household members, childhood and youth conditions, health, employment and access to household utilities and living conditions); and uses a nested weighting structure, where each dimension is equally weighted, as is each indicator within each dimension. This paper proposes the CMPI to tracking multiple deprivations across the national territory, to monitor public policies by sector and to design poverty reduction goals, among other public policy uses. Analysis of the results demonstrates that multidimensional poverty in Colombia decreased between 1997 and 2010. Multidimensional poverty rates decreased in both urban and rural areas, but imbalances remain.","language":"en","page":"52","source":"Zotero","title":"A Counting Multidimensional Poverty Index in Public Policy Context: the case of Colombia","author":[{"family":"Salazar","given":"Roberto Carlos Angulo"},{"family":"Díaz","given":"Beatriz Yadira"},{"family":"Pinzón","given":"Renata Pardo"}]}}],"schema":"https://github.com/citation-style-language/schema/raw/master/csl-citation.json"} </w:instrText>
      </w:r>
      <w:r w:rsidR="00CD2033" w:rsidRPr="00C316F8">
        <w:rPr>
          <w:lang w:val="es-CO"/>
        </w:rPr>
        <w:fldChar w:fldCharType="separate"/>
      </w:r>
      <w:r w:rsidR="00CD2033" w:rsidRPr="00C316F8">
        <w:rPr>
          <w:rFonts w:ascii="Calibri" w:hAnsi="Calibri" w:cs="Calibri"/>
          <w:lang w:val="es-CO"/>
        </w:rPr>
        <w:t>(7,8,32)</w:t>
      </w:r>
      <w:r w:rsidR="00CD2033" w:rsidRPr="00C316F8">
        <w:rPr>
          <w:lang w:val="es-CO"/>
        </w:rPr>
        <w:fldChar w:fldCharType="end"/>
      </w:r>
    </w:p>
    <w:p w14:paraId="4CDCCCB0" w14:textId="33C9D2D4" w:rsidR="00AD5422" w:rsidRPr="00C316F8" w:rsidRDefault="00AD5422" w:rsidP="003B711F">
      <w:pPr>
        <w:jc w:val="both"/>
        <w:rPr>
          <w:rFonts w:cstheme="minorHAnsi"/>
          <w:sz w:val="24"/>
          <w:szCs w:val="24"/>
          <w:lang w:val="es-ES"/>
        </w:rPr>
      </w:pPr>
      <w:r w:rsidRPr="00C316F8">
        <w:rPr>
          <w:rFonts w:cstheme="minorHAnsi"/>
          <w:sz w:val="24"/>
          <w:szCs w:val="24"/>
          <w:lang w:val="es-ES"/>
        </w:rPr>
        <w:t xml:space="preserve"> Se pueden identificar 5 indicadores comunes relacionados con el estado socioeconómico, la salud y la mortalidad:</w:t>
      </w:r>
    </w:p>
    <w:p w14:paraId="4DA554A7" w14:textId="77777777" w:rsidR="00AD5422" w:rsidRPr="00C316F8" w:rsidRDefault="00AD5422" w:rsidP="00B96D9D">
      <w:pPr>
        <w:pStyle w:val="Prrafodelista"/>
        <w:numPr>
          <w:ilvl w:val="0"/>
          <w:numId w:val="3"/>
        </w:numPr>
        <w:jc w:val="both"/>
        <w:rPr>
          <w:rFonts w:cstheme="minorHAnsi"/>
          <w:sz w:val="24"/>
          <w:szCs w:val="24"/>
          <w:lang w:val="es-ES"/>
        </w:rPr>
      </w:pPr>
      <w:r w:rsidRPr="00C316F8">
        <w:rPr>
          <w:rFonts w:cstheme="minorHAnsi"/>
          <w:sz w:val="24"/>
          <w:szCs w:val="24"/>
          <w:lang w:val="es-ES"/>
        </w:rPr>
        <w:t>Raza.</w:t>
      </w:r>
    </w:p>
    <w:p w14:paraId="5AAD66E7" w14:textId="77777777" w:rsidR="00AD5422" w:rsidRPr="00C316F8" w:rsidRDefault="00AD5422" w:rsidP="00B96D9D">
      <w:pPr>
        <w:pStyle w:val="Prrafodelista"/>
        <w:numPr>
          <w:ilvl w:val="0"/>
          <w:numId w:val="3"/>
        </w:numPr>
        <w:jc w:val="both"/>
        <w:rPr>
          <w:rFonts w:cstheme="minorHAnsi"/>
          <w:sz w:val="24"/>
          <w:szCs w:val="24"/>
          <w:lang w:val="es-ES"/>
        </w:rPr>
      </w:pPr>
      <w:r w:rsidRPr="00C316F8">
        <w:rPr>
          <w:rFonts w:cstheme="minorHAnsi"/>
          <w:sz w:val="24"/>
          <w:szCs w:val="24"/>
          <w:lang w:val="es-ES"/>
        </w:rPr>
        <w:t>Educación.</w:t>
      </w:r>
    </w:p>
    <w:p w14:paraId="49519CC2" w14:textId="77777777" w:rsidR="00AD5422" w:rsidRPr="00C316F8" w:rsidRDefault="00AD5422" w:rsidP="00B96D9D">
      <w:pPr>
        <w:pStyle w:val="Prrafodelista"/>
        <w:numPr>
          <w:ilvl w:val="0"/>
          <w:numId w:val="3"/>
        </w:numPr>
        <w:jc w:val="both"/>
        <w:rPr>
          <w:rFonts w:cstheme="minorHAnsi"/>
          <w:sz w:val="24"/>
          <w:szCs w:val="24"/>
          <w:lang w:val="es-ES"/>
        </w:rPr>
      </w:pPr>
      <w:r w:rsidRPr="00C316F8">
        <w:rPr>
          <w:rFonts w:cstheme="minorHAnsi"/>
          <w:sz w:val="24"/>
          <w:szCs w:val="24"/>
          <w:lang w:val="es-ES"/>
        </w:rPr>
        <w:t>Ingreso.</w:t>
      </w:r>
    </w:p>
    <w:p w14:paraId="5AF7AD72" w14:textId="77777777" w:rsidR="00AD5422" w:rsidRPr="00C316F8" w:rsidRDefault="00AD5422" w:rsidP="00B96D9D">
      <w:pPr>
        <w:pStyle w:val="Prrafodelista"/>
        <w:numPr>
          <w:ilvl w:val="0"/>
          <w:numId w:val="3"/>
        </w:numPr>
        <w:jc w:val="both"/>
        <w:rPr>
          <w:rFonts w:cstheme="minorHAnsi"/>
          <w:sz w:val="24"/>
          <w:szCs w:val="24"/>
          <w:lang w:val="es-ES"/>
        </w:rPr>
      </w:pPr>
      <w:r w:rsidRPr="00C316F8">
        <w:rPr>
          <w:rFonts w:cstheme="minorHAnsi"/>
          <w:sz w:val="24"/>
          <w:szCs w:val="24"/>
          <w:lang w:val="es-ES"/>
        </w:rPr>
        <w:t>Ocupación</w:t>
      </w:r>
    </w:p>
    <w:p w14:paraId="6AC5C8A0" w14:textId="5C2DF109" w:rsidR="00AD5422" w:rsidRPr="00C316F8" w:rsidRDefault="00AD5422" w:rsidP="00B96D9D">
      <w:pPr>
        <w:pStyle w:val="Prrafodelista"/>
        <w:numPr>
          <w:ilvl w:val="0"/>
          <w:numId w:val="3"/>
        </w:numPr>
        <w:jc w:val="both"/>
        <w:rPr>
          <w:rFonts w:cstheme="minorHAnsi"/>
          <w:sz w:val="24"/>
          <w:szCs w:val="24"/>
          <w:lang w:val="es-ES"/>
        </w:rPr>
      </w:pPr>
      <w:r w:rsidRPr="00C316F8">
        <w:rPr>
          <w:rFonts w:cstheme="minorHAnsi"/>
          <w:sz w:val="24"/>
          <w:szCs w:val="24"/>
          <w:lang w:val="es-ES"/>
        </w:rPr>
        <w:t>Riqueza</w:t>
      </w:r>
      <w:r w:rsidR="00C3696D"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{"citationID":"D3HdZfhZ","properties":{"formattedCitation":"(31)","plainCitation":"(31)","noteIndex":0},"citationItems":[{"id":55,"uris":["http://zotero.org/users/5785509/items/H2FLXKWA"],"itemData":{"id":55,"type":"article-journal","abstract":"This review focuses on the widening disparities in death rates by socioeconomic class. In recent years, there has been a major increase in the availability of data linking mortality risk and measures of socioeconomic status. The result has been a virtual explosion of new empirical research showing not only the existence of large inequities in the risk of death between those at the top and those at the bottom of the socioeconomic distribution, but also that the gaps have been growing. This assessment of the empirical research finds a consistent pattern of growing disparities within the United States. However, this widening gap in death rates does appear to be a uniquely American phenomenon, as the disparities by socioeconomic class appear to be stable or even declining in Europe and Canada.","container-title":"Annual Review of Public Health","DOI":"10.1146/annurev-publhealth-040617-014615","ISSN":"0163-7525, 1545-2093","issue":"1","journalAbbreviation":"Annu. Rev. Public Health","language":"en","page":"237-251","source":"DOI.org (Crossref)","title":"Increasing Disparities in Mortality by Socioeconomic Status","URL":"https://www.annualreviews.org/doi/10.1146/annurev-publhealth-040617-014615","volume":"39","author":[{"family":"Bosworth","given":"Barry"}],"accessed":{"date-parts":[["2022",2,21]]},"issued":{"date-parts":[["2018",4,1]]}}}],"schema":"https://github.com/citation-style-language/schema/raw/master/csl-citation.json"} </w:instrText>
      </w:r>
      <w:r w:rsidRPr="00C316F8">
        <w:rPr>
          <w:rFonts w:cstheme="minorHAnsi"/>
          <w:sz w:val="24"/>
          <w:szCs w:val="24"/>
          <w:lang w:val="es-ES"/>
        </w:rPr>
        <w:fldChar w:fldCharType="separate"/>
      </w:r>
      <w:r w:rsidR="00707240" w:rsidRPr="00C316F8">
        <w:rPr>
          <w:rFonts w:cstheme="minorHAnsi"/>
          <w:sz w:val="24"/>
          <w:szCs w:val="24"/>
        </w:rPr>
        <w:t>(31)</w:t>
      </w:r>
      <w:r w:rsidRPr="00C316F8">
        <w:rPr>
          <w:rFonts w:cstheme="minorHAnsi"/>
          <w:sz w:val="24"/>
          <w:szCs w:val="24"/>
          <w:lang w:val="es-ES"/>
        </w:rPr>
        <w:fldChar w:fldCharType="end"/>
      </w:r>
      <w:r w:rsidR="00C3696D" w:rsidRPr="00C316F8">
        <w:rPr>
          <w:rFonts w:cstheme="minorHAnsi"/>
          <w:sz w:val="24"/>
          <w:szCs w:val="24"/>
          <w:lang w:val="es-ES"/>
        </w:rPr>
        <w:t>.</w:t>
      </w:r>
    </w:p>
    <w:p w14:paraId="40AE96A4" w14:textId="77777777" w:rsidR="00AD5422" w:rsidRPr="00C316F8" w:rsidRDefault="00AD5422" w:rsidP="003B711F">
      <w:pPr>
        <w:jc w:val="both"/>
        <w:rPr>
          <w:rFonts w:cstheme="minorHAnsi"/>
          <w:sz w:val="24"/>
          <w:szCs w:val="24"/>
          <w:lang w:val="es-ES"/>
        </w:rPr>
      </w:pPr>
    </w:p>
    <w:p w14:paraId="2F699180" w14:textId="4D0403A1" w:rsidR="00AD5422" w:rsidRPr="00C316F8" w:rsidRDefault="00C52C0E" w:rsidP="00C51A97">
      <w:pPr>
        <w:pStyle w:val="Ttulo2"/>
      </w:pPr>
      <w:bookmarkStart w:id="15" w:name="_Toc229834633"/>
      <w:r w:rsidRPr="00C316F8">
        <w:lastRenderedPageBreak/>
        <w:t>3.2.1</w:t>
      </w:r>
      <w:r w:rsidRPr="00C316F8">
        <w:tab/>
      </w:r>
      <w:r w:rsidR="002A4C3E" w:rsidRPr="00C316F8">
        <w:t>Etnicidad y raza</w:t>
      </w:r>
      <w:bookmarkEnd w:id="15"/>
    </w:p>
    <w:p w14:paraId="1FC817C7" w14:textId="77777777" w:rsidR="002A4C3E" w:rsidRPr="00C316F8" w:rsidRDefault="002A4C3E" w:rsidP="002A4C3E">
      <w:pPr>
        <w:rPr>
          <w:lang w:val="es-CO"/>
        </w:rPr>
      </w:pPr>
    </w:p>
    <w:p w14:paraId="7FFFB3E9" w14:textId="61A0A930" w:rsidR="00AD5422" w:rsidRPr="00C316F8" w:rsidRDefault="00AD5422" w:rsidP="003B711F">
      <w:pPr>
        <w:jc w:val="both"/>
        <w:rPr>
          <w:rFonts w:cstheme="minorHAnsi"/>
          <w:sz w:val="24"/>
          <w:szCs w:val="24"/>
          <w:lang w:val="es-ES"/>
        </w:rPr>
      </w:pPr>
      <w:r w:rsidRPr="00C316F8">
        <w:rPr>
          <w:rFonts w:cstheme="minorHAnsi"/>
          <w:sz w:val="24"/>
          <w:szCs w:val="24"/>
          <w:lang w:val="es-ES"/>
        </w:rPr>
        <w:t>Raza y etnicidad son dos conceptos que han respondido a distintos significados</w:t>
      </w:r>
      <w:r w:rsidR="004B6035" w:rsidRPr="00C316F8">
        <w:rPr>
          <w:rFonts w:cstheme="minorHAnsi"/>
          <w:sz w:val="24"/>
          <w:szCs w:val="24"/>
          <w:lang w:val="es-ES"/>
        </w:rPr>
        <w:t>;</w:t>
      </w:r>
      <w:r w:rsidRPr="00C316F8">
        <w:rPr>
          <w:rFonts w:cstheme="minorHAnsi"/>
          <w:sz w:val="24"/>
          <w:szCs w:val="24"/>
          <w:lang w:val="es-ES"/>
        </w:rPr>
        <w:t xml:space="preserve"> no son términos que tengan referentes fijos. Raza y etnia no son términos que se refieren de alguna manera neutra a una realidad transparente en la que las ciencias sociales dan una imagen cada vez más precisa; son términos incrustados en discursos académicos, políticos y populares haciendo parte constitutiva de estos</w:t>
      </w:r>
      <w:r w:rsidR="009442B9"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{"citationID":"yIjcoKsj","properties":{"formattedCitation":"(33)","plainCitation":"(33)","noteIndex":0},"citationItems":[{"id":13,"uris":["http://zotero.org/users/5785509/items/RTCKCXGV"],"itemData":{"id":13,"type":"book","abstract":"For over ten years, Race and Ethnicity in Latin America has been an essential text for students studying the region. This second edition adds new material and brings the analysis up to date. Race and ethnic identities are increasingly salient in Latin America. Peter Wade examines changing perspectives on Black and Indian populations in the region, tracing similarities and differences in the way these peoples have been seen by academics and national elites. Race and ethnicity as analytical concepts are re-examined in order to assess their usefulness. This book should be the first port of call for anthropologists and sociologists studying identity in Latin America.","archive":"JSTOR","DOI":"10.2307/j.ctt183p73f","ISBN":"978-0-7453-2947-5","publisher":"Pluto Press","title":"Race and Ethnicity in Latin America","URL":"http://www.jstor.org/stable/j.ctt183p73f","author":[{"family":"Wade","given":"Peter"}],"accessed":{"date-parts":[["2022",4,2]]},"issued":{"date-parts":[["2010"]]}}}],"schema":"https://github.com/citation-style-language/schema/raw/master/csl-citation.json"}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(33)</w:t>
      </w:r>
      <w:r w:rsidRPr="00C316F8">
        <w:rPr>
          <w:rFonts w:cstheme="minorHAnsi"/>
          <w:sz w:val="24"/>
          <w:szCs w:val="24"/>
          <w:lang w:val="es-ES"/>
        </w:rPr>
        <w:fldChar w:fldCharType="end"/>
      </w:r>
    </w:p>
    <w:p w14:paraId="0FA5FEBD" w14:textId="4A75F8EB" w:rsidR="00AD5422" w:rsidRPr="00C316F8" w:rsidRDefault="00AD5422" w:rsidP="003B711F">
      <w:pPr>
        <w:jc w:val="both"/>
        <w:rPr>
          <w:rFonts w:cstheme="minorHAnsi"/>
          <w:sz w:val="24"/>
          <w:szCs w:val="24"/>
          <w:lang w:val="es-CO"/>
        </w:rPr>
      </w:pPr>
      <w:r w:rsidRPr="00C316F8">
        <w:rPr>
          <w:rFonts w:cstheme="minorHAnsi"/>
          <w:sz w:val="24"/>
          <w:szCs w:val="24"/>
          <w:lang w:val="es-CO"/>
        </w:rPr>
        <w:t>Wade propone la existencia de tres momentos históricos y contextos sociales de construcción del significado de “raza”. Un primer momento, que el autor denomina la etapa de “naturalización de las diferencias”; un segundo momento que denomina la “era del racismo científico”, por último, la etapa que el autor señala como de “construcción social de la raza”</w:t>
      </w:r>
      <w:r w:rsidR="0006031E"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{"citationID":"7nUVypjl","properties":{"formattedCitation":"(34)","plainCitation":"(34)","noteIndex":0},"citationItems":[{"id":12,"uris":["http://zotero.org/users/5785509/items/6CHDJ4AE"],"itemData":{"id":12,"type":"article-journal","container-title":"America, Londen","journalAbbreviation":"America, Londen","page":"3","title":"Race and Ethnicity in Latin","author":[{"family":"Wade","given":"Peter"}],"issued":{"date-parts":[["1997"]]}}}],"schema":"https://github.com/citation-style-language/schema/raw/master/csl-citation.json"} </w:instrText>
      </w:r>
      <w:r w:rsidRPr="00C316F8">
        <w:rPr>
          <w:rFonts w:cstheme="minorHAnsi"/>
          <w:sz w:val="24"/>
          <w:szCs w:val="24"/>
        </w:rPr>
        <w:fldChar w:fldCharType="separate"/>
      </w:r>
      <w:r w:rsidR="00CD2033" w:rsidRPr="00C316F8">
        <w:rPr>
          <w:rFonts w:ascii="Calibri" w:hAnsi="Calibri" w:cs="Calibri"/>
          <w:sz w:val="24"/>
          <w:lang w:val="es-CO"/>
        </w:rPr>
        <w:t>(34)</w:t>
      </w:r>
      <w:r w:rsidRPr="00C316F8">
        <w:rPr>
          <w:rFonts w:cstheme="minorHAnsi"/>
          <w:sz w:val="24"/>
          <w:szCs w:val="24"/>
        </w:rPr>
        <w:fldChar w:fldCharType="end"/>
      </w:r>
    </w:p>
    <w:p w14:paraId="6E2A4D55" w14:textId="57A3A9C6" w:rsidR="00AD5422" w:rsidRPr="00C316F8" w:rsidRDefault="00AD5422" w:rsidP="003B711F">
      <w:pPr>
        <w:jc w:val="both"/>
        <w:rPr>
          <w:rFonts w:cstheme="minorHAnsi"/>
          <w:sz w:val="24"/>
          <w:szCs w:val="24"/>
          <w:lang w:val="es-CO"/>
        </w:rPr>
      </w:pPr>
      <w:r w:rsidRPr="00C316F8">
        <w:rPr>
          <w:rFonts w:cstheme="minorHAnsi"/>
          <w:sz w:val="24"/>
          <w:szCs w:val="24"/>
          <w:lang w:val="es-CO"/>
        </w:rPr>
        <w:t>De acuerdo con</w:t>
      </w:r>
      <w:r w:rsidR="007E5D58" w:rsidRPr="00C316F8">
        <w:rPr>
          <w:rFonts w:cstheme="minorHAnsi"/>
          <w:sz w:val="24"/>
          <w:szCs w:val="24"/>
          <w:lang w:val="es-CO"/>
        </w:rPr>
        <w:t xml:space="preserve"> </w:t>
      </w:r>
      <w:r w:rsidR="004B6035" w:rsidRPr="00C316F8">
        <w:rPr>
          <w:rFonts w:cstheme="minorHAnsi"/>
          <w:sz w:val="24"/>
          <w:szCs w:val="24"/>
          <w:lang w:val="es-CO"/>
        </w:rPr>
        <w:t>la</w:t>
      </w:r>
      <w:r w:rsidR="007E5D58" w:rsidRPr="00C316F8">
        <w:rPr>
          <w:rFonts w:cstheme="minorHAnsi"/>
          <w:sz w:val="24"/>
          <w:szCs w:val="24"/>
          <w:lang w:val="es-CO"/>
        </w:rPr>
        <w:t xml:space="preserve"> Comisión Económica para América Latina y el Caribe</w:t>
      </w:r>
      <w:r w:rsidRPr="00C316F8">
        <w:rPr>
          <w:rFonts w:cstheme="minorHAnsi"/>
          <w:sz w:val="24"/>
          <w:szCs w:val="24"/>
          <w:lang w:val="es-CO"/>
        </w:rPr>
        <w:t xml:space="preserve"> </w:t>
      </w:r>
      <w:r w:rsidR="007E5D58" w:rsidRPr="00C316F8">
        <w:rPr>
          <w:rFonts w:cstheme="minorHAnsi"/>
          <w:sz w:val="24"/>
          <w:szCs w:val="24"/>
          <w:lang w:val="es-CO"/>
        </w:rPr>
        <w:t>(</w:t>
      </w:r>
      <w:r w:rsidRPr="00C316F8">
        <w:rPr>
          <w:rFonts w:cstheme="minorHAnsi"/>
          <w:sz w:val="24"/>
          <w:szCs w:val="24"/>
          <w:lang w:val="es-CO"/>
        </w:rPr>
        <w:t>CEPAL</w:t>
      </w:r>
      <w:r w:rsidR="007E5D58" w:rsidRPr="00C316F8">
        <w:rPr>
          <w:rFonts w:cstheme="minorHAnsi"/>
          <w:sz w:val="24"/>
          <w:szCs w:val="24"/>
          <w:lang w:val="es-CO"/>
        </w:rPr>
        <w:t>)</w:t>
      </w:r>
      <w:r w:rsidR="004B6035" w:rsidRPr="00C316F8">
        <w:rPr>
          <w:rFonts w:cstheme="minorHAnsi"/>
          <w:sz w:val="24"/>
          <w:szCs w:val="24"/>
          <w:lang w:val="es-CO"/>
        </w:rPr>
        <w:t>,</w:t>
      </w:r>
      <w:r w:rsidRPr="00C316F8">
        <w:rPr>
          <w:rFonts w:cstheme="minorHAnsi"/>
          <w:sz w:val="24"/>
          <w:szCs w:val="24"/>
          <w:lang w:val="es-CO"/>
        </w:rPr>
        <w:t xml:space="preserve"> a diferencia de raza, </w:t>
      </w:r>
      <w:r w:rsidR="004B6035" w:rsidRPr="00C316F8">
        <w:rPr>
          <w:rFonts w:cstheme="minorHAnsi"/>
          <w:sz w:val="24"/>
          <w:szCs w:val="24"/>
          <w:lang w:val="es-CO"/>
        </w:rPr>
        <w:t xml:space="preserve">la </w:t>
      </w:r>
      <w:r w:rsidRPr="00C316F8">
        <w:rPr>
          <w:rFonts w:cstheme="minorHAnsi"/>
          <w:sz w:val="24"/>
          <w:szCs w:val="24"/>
          <w:lang w:val="es-CO"/>
        </w:rPr>
        <w:t>etnicidad es un concepto de uso más reciente y de menor carga valórica. Etnicidad proviene del concepto griego ethnos</w:t>
      </w:r>
      <w:r w:rsidR="002207D9" w:rsidRPr="00C316F8">
        <w:rPr>
          <w:rFonts w:cstheme="minorHAnsi"/>
          <w:sz w:val="24"/>
          <w:szCs w:val="24"/>
          <w:lang w:val="es-CO"/>
        </w:rPr>
        <w:t>,</w:t>
      </w:r>
      <w:r w:rsidRPr="00C316F8">
        <w:rPr>
          <w:rFonts w:cstheme="minorHAnsi"/>
          <w:sz w:val="24"/>
          <w:szCs w:val="24"/>
          <w:lang w:val="es-CO"/>
        </w:rPr>
        <w:t xml:space="preserve"> que significa pueblo o nación; su uso generalizado ha emergido precisamente como reemplazo de la desprestigiada palabra raza. Pero no es </w:t>
      </w:r>
      <w:r w:rsidR="002207D9" w:rsidRPr="00C316F8">
        <w:rPr>
          <w:rFonts w:cstheme="minorHAnsi"/>
          <w:sz w:val="24"/>
          <w:szCs w:val="24"/>
          <w:lang w:val="es-CO"/>
        </w:rPr>
        <w:t>solo</w:t>
      </w:r>
      <w:r w:rsidRPr="00C316F8">
        <w:rPr>
          <w:rFonts w:cstheme="minorHAnsi"/>
          <w:sz w:val="24"/>
          <w:szCs w:val="24"/>
          <w:lang w:val="es-CO"/>
        </w:rPr>
        <w:t xml:space="preserve"> un sinónimo, porque mientras raza se refiere a características fenotípicas, etnicidad se refiere a cultura y, específicamente, a diferencias culturales. La paradoja es que recientemente se ha </w:t>
      </w:r>
      <w:r w:rsidR="00FE3CAA" w:rsidRPr="00C316F8">
        <w:rPr>
          <w:rFonts w:cstheme="minorHAnsi"/>
          <w:sz w:val="24"/>
          <w:szCs w:val="24"/>
          <w:lang w:val="es-CO"/>
        </w:rPr>
        <w:t>retomado</w:t>
      </w:r>
      <w:r w:rsidRPr="00C316F8">
        <w:rPr>
          <w:rFonts w:cstheme="minorHAnsi"/>
          <w:sz w:val="24"/>
          <w:szCs w:val="24"/>
          <w:lang w:val="es-CO"/>
        </w:rPr>
        <w:t xml:space="preserve"> una discusión que parecía superada</w:t>
      </w:r>
      <w:r w:rsidR="002207D9" w:rsidRPr="00C316F8">
        <w:rPr>
          <w:rFonts w:cstheme="minorHAnsi"/>
          <w:sz w:val="24"/>
          <w:szCs w:val="24"/>
          <w:lang w:val="es-CO"/>
        </w:rPr>
        <w:t>,</w:t>
      </w:r>
      <w:r w:rsidRPr="00C316F8">
        <w:rPr>
          <w:rFonts w:cstheme="minorHAnsi"/>
          <w:sz w:val="24"/>
          <w:szCs w:val="24"/>
          <w:lang w:val="es-CO"/>
        </w:rPr>
        <w:t xml:space="preserve"> ¿tales características culturales son adquiridas o forman parte de un conjunto predeterminado, incluso biológicamente? La pregunta parece retrotraer la discusión a la noción de raza</w:t>
      </w:r>
      <w:r w:rsidR="0006031E"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bc9k0gL5","properties":{"formattedCitation":"(35)","plainCitation":"(35)","noteIndex":0},"citationItems":[{"id":14,"uris":["http://zotero.org/users/5785509/items/N6HZQ9II"],"itemData":{"id":14,"type":"article-journal","language":"es","page":"80","source":"Zotero","title":"Etnicidad, raza y equidad en América Latina y el Caribe"}}],"schema":"https://github.com/citation-style-language/schema/raw/master/csl-citation.json"} </w:instrText>
      </w:r>
      <w:r w:rsidRPr="00C316F8">
        <w:rPr>
          <w:rFonts w:cstheme="minorHAnsi"/>
          <w:sz w:val="24"/>
          <w:szCs w:val="24"/>
        </w:rPr>
        <w:fldChar w:fldCharType="separate"/>
      </w:r>
      <w:r w:rsidR="00CD2033" w:rsidRPr="00C316F8">
        <w:rPr>
          <w:rFonts w:ascii="Calibri" w:hAnsi="Calibri" w:cs="Calibri"/>
          <w:sz w:val="24"/>
          <w:lang w:val="es-CO"/>
        </w:rPr>
        <w:t>(35)</w:t>
      </w:r>
      <w:r w:rsidRPr="00C316F8">
        <w:rPr>
          <w:rFonts w:cstheme="minorHAnsi"/>
          <w:sz w:val="24"/>
          <w:szCs w:val="24"/>
        </w:rPr>
        <w:fldChar w:fldCharType="end"/>
      </w:r>
    </w:p>
    <w:p w14:paraId="67E5AA51" w14:textId="27CF515E" w:rsidR="00AD5422" w:rsidRPr="00C316F8" w:rsidRDefault="00AD5422" w:rsidP="003B711F">
      <w:pPr>
        <w:jc w:val="both"/>
        <w:rPr>
          <w:rFonts w:cstheme="minorHAnsi"/>
          <w:sz w:val="24"/>
          <w:szCs w:val="24"/>
          <w:lang w:val="es-ES"/>
        </w:rPr>
      </w:pPr>
      <w:r w:rsidRPr="00C316F8">
        <w:rPr>
          <w:rFonts w:cstheme="minorHAnsi"/>
          <w:sz w:val="24"/>
          <w:szCs w:val="24"/>
          <w:lang w:val="es-ES"/>
        </w:rPr>
        <w:t>La raza y las diferencias étnicas son un factor muy importante en las tasas de mortalidad en las diferentes edades. El tema es importante porque la raza es una característica por la que ha habido un cambio importante en la mortalidad en las últimas dos décadas. La brecha en las tasas de mortalidad entre negros y blancos aumentó drásticamente a principios de la década de 1980 en Estados Unidos, debido en gran parte a un aumento en las muertes por SIDA entre los hombres negros. Si bien la tasa general sigue siendo mucho más alta para los negros que para los blancos, ha habido un progreso sustancial en la reducción de las desigualdades en las últimas dos décadas</w:t>
      </w:r>
      <w:r w:rsidR="0006031E"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{"citationID":"QCVwbmLn","properties":{"formattedCitation":"(31)","plainCitation":"(31)","noteIndex":0},"citationItems":[{"id":55,"uris":["http://zotero.org/users/5785509/items/H2FLXKWA"],"itemData":{"id":55,"type":"article-journal","abstract":"This review focuses on the widening disparities in death rates by socioeconomic class. In recent years, there has been a major increase in the availability of data linking mortality risk and measures of socioeconomic status. The result has been a virtual explosion of new empirical research showing not only the existence of large inequities in the risk of death between those at the top and those at the bottom of the socioeconomic distribution, but also that the gaps have been growing. This assessment of the empirical research finds a consistent pattern of growing disparities within the United States. However, this widening gap in death rates does appear to be a uniquely American phenomenon, as the disparities by socioeconomic class appear to be stable or even declining in Europe and Canada.","container-title":"Annual Review of Public Health","DOI":"10.1146/annurev-publhealth-040617-014615","ISSN":"0163-7525, 1545-2093","issue":"1","journalAbbreviation":"Annu. Rev. Public Health","language":"en","page":"237-251","source":"DOI.org (Crossref)","title":"Increasing Disparities in Mortality by Socioeconomic Status","URL":"https://www.annualreviews.org/doi/10.1146/annurev-publhealth-040617-014615","volume":"39","author":[{"family":"Bosworth","given":"Barry"}],"accessed":{"date-parts":[["2022",2,21]]},"issued":{"date-parts":[["2018",4,1]]}}}],"schema":"https://github.com/citation-style-language/schema/raw/master/csl-citation.json"} </w:instrText>
      </w:r>
      <w:r w:rsidRPr="00C316F8">
        <w:rPr>
          <w:rFonts w:cstheme="minorHAnsi"/>
          <w:sz w:val="24"/>
          <w:szCs w:val="24"/>
          <w:lang w:val="es-ES"/>
        </w:rPr>
        <w:fldChar w:fldCharType="separate"/>
      </w:r>
      <w:r w:rsidR="00707240" w:rsidRPr="00C316F8">
        <w:rPr>
          <w:rFonts w:cstheme="minorHAnsi"/>
          <w:sz w:val="24"/>
          <w:szCs w:val="24"/>
          <w:lang w:val="es-CO"/>
        </w:rPr>
        <w:t>(31)</w:t>
      </w:r>
      <w:r w:rsidRPr="00C316F8">
        <w:rPr>
          <w:rFonts w:cstheme="minorHAnsi"/>
          <w:sz w:val="24"/>
          <w:szCs w:val="24"/>
          <w:lang w:val="es-ES"/>
        </w:rPr>
        <w:fldChar w:fldCharType="end"/>
      </w:r>
    </w:p>
    <w:p w14:paraId="70C3C9C1" w14:textId="120E95B3" w:rsidR="00AD5422" w:rsidRPr="00C316F8" w:rsidRDefault="00AD5422" w:rsidP="003B711F">
      <w:pPr>
        <w:jc w:val="both"/>
        <w:rPr>
          <w:rFonts w:cstheme="minorHAnsi"/>
          <w:sz w:val="24"/>
          <w:szCs w:val="24"/>
          <w:lang w:val="es-ES"/>
        </w:rPr>
      </w:pPr>
      <w:r w:rsidRPr="00C316F8">
        <w:rPr>
          <w:rFonts w:cstheme="minorHAnsi"/>
          <w:sz w:val="24"/>
          <w:szCs w:val="24"/>
          <w:lang w:val="es-ES"/>
        </w:rPr>
        <w:t xml:space="preserve">Los problemas de salud en la población afrodescendiente se manifiestan a través del transcurso de la vida. Esta población tiene niveles altos de morbilidad y hay diferencias en enfermedades como diabetes mellitus e hipertensión arterial </w:t>
      </w:r>
      <w:r w:rsidR="00D369ED" w:rsidRPr="00C316F8">
        <w:rPr>
          <w:rFonts w:cstheme="minorHAnsi"/>
          <w:sz w:val="24"/>
          <w:szCs w:val="24"/>
          <w:lang w:val="es-ES"/>
        </w:rPr>
        <w:t>asociadas</w:t>
      </w:r>
      <w:r w:rsidRPr="00C316F8">
        <w:rPr>
          <w:rFonts w:cstheme="minorHAnsi"/>
          <w:sz w:val="24"/>
          <w:szCs w:val="24"/>
          <w:lang w:val="es-ES"/>
        </w:rPr>
        <w:t xml:space="preserve"> a una mayor mortalidad por enfermedad isquémica del corazón, enfermedad cerebrovascular y cáncer. Una de las mayores explicaciones </w:t>
      </w:r>
      <w:r w:rsidR="00D369ED" w:rsidRPr="00C316F8">
        <w:rPr>
          <w:rFonts w:cstheme="minorHAnsi"/>
          <w:sz w:val="24"/>
          <w:szCs w:val="24"/>
          <w:lang w:val="es-ES"/>
        </w:rPr>
        <w:t>de</w:t>
      </w:r>
      <w:r w:rsidRPr="00C316F8">
        <w:rPr>
          <w:rFonts w:cstheme="minorHAnsi"/>
          <w:sz w:val="24"/>
          <w:szCs w:val="24"/>
          <w:lang w:val="es-ES"/>
        </w:rPr>
        <w:t xml:space="preserve"> esta disparidad se relaciona con el estado socioeconómico. Tienen menor nivel de educación, más tasa de desempleo y experimentan mayor pobreza. Las disparidades se centran en la relación que existe entre la raza y la clase, estas no son intercambiables, es decir</w:t>
      </w:r>
      <w:r w:rsidR="00D369ED" w:rsidRPr="00C316F8">
        <w:rPr>
          <w:rFonts w:cstheme="minorHAnsi"/>
          <w:sz w:val="24"/>
          <w:szCs w:val="24"/>
          <w:lang w:val="es-ES"/>
        </w:rPr>
        <w:t>,</w:t>
      </w:r>
      <w:r w:rsidRPr="00C316F8">
        <w:rPr>
          <w:rFonts w:cstheme="minorHAnsi"/>
          <w:sz w:val="24"/>
          <w:szCs w:val="24"/>
          <w:lang w:val="es-ES"/>
        </w:rPr>
        <w:t xml:space="preserve"> un cambio en una no genera cambio en la otra. Las diferencias raciales pueden persistir a pesar de tener controlada la clase social como se </w:t>
      </w:r>
      <w:r w:rsidRPr="00C316F8">
        <w:rPr>
          <w:rFonts w:cstheme="minorHAnsi"/>
          <w:sz w:val="24"/>
          <w:szCs w:val="24"/>
          <w:lang w:val="es-ES"/>
        </w:rPr>
        <w:lastRenderedPageBreak/>
        <w:t>evidencia en el estudio de Farmer et al</w:t>
      </w:r>
      <w:r w:rsidR="00FA0C67" w:rsidRPr="00C316F8">
        <w:rPr>
          <w:rFonts w:cstheme="minorHAnsi"/>
          <w:sz w:val="24"/>
          <w:szCs w:val="24"/>
          <w:lang w:val="es-ES"/>
        </w:rPr>
        <w:t>.</w:t>
      </w:r>
      <w:r w:rsidRPr="00C316F8">
        <w:rPr>
          <w:rFonts w:cstheme="minorHAnsi"/>
          <w:sz w:val="24"/>
          <w:szCs w:val="24"/>
          <w:lang w:val="es-ES"/>
        </w:rPr>
        <w:t>, en donde encontró interacciones significativas entre la raza, el nivel de educación y el empleo. A medida que aumenta el nivel educativo</w:t>
      </w:r>
      <w:r w:rsidR="009B117E" w:rsidRPr="00C316F8">
        <w:rPr>
          <w:rFonts w:cstheme="minorHAnsi"/>
          <w:sz w:val="24"/>
          <w:szCs w:val="24"/>
          <w:lang w:val="es-ES"/>
        </w:rPr>
        <w:t>,</w:t>
      </w:r>
      <w:r w:rsidRPr="00C316F8">
        <w:rPr>
          <w:rFonts w:cstheme="minorHAnsi"/>
          <w:sz w:val="24"/>
          <w:szCs w:val="24"/>
          <w:lang w:val="es-ES"/>
        </w:rPr>
        <w:t xml:space="preserve"> los adultos afrodescendientes no obtuvieron mejoría en la autoevaluación de salud </w:t>
      </w:r>
      <w:r w:rsidR="00FA0C67" w:rsidRPr="00C316F8">
        <w:rPr>
          <w:rFonts w:cstheme="minorHAnsi"/>
          <w:sz w:val="24"/>
          <w:szCs w:val="24"/>
          <w:lang w:val="es-ES"/>
        </w:rPr>
        <w:t>comparados</w:t>
      </w:r>
      <w:r w:rsidRPr="00C316F8">
        <w:rPr>
          <w:rFonts w:cstheme="minorHAnsi"/>
          <w:sz w:val="24"/>
          <w:szCs w:val="24"/>
          <w:lang w:val="es-ES"/>
        </w:rPr>
        <w:t xml:space="preserve"> con los de raza blanca</w:t>
      </w:r>
      <w:r w:rsidR="0006031E"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{"citationID":"LHwXAQH0","properties":{"formattedCitation":"(5)","plainCitation":"(5)","noteIndex":0},"citationItems":[{"id":52,"uris":["http://zotero.org/users/5785509/items/4K5I5LNQ"],"itemData":{"id":52,"type":"article-journal","container-title":"Social Science &amp; Medicine","DOI":"10.1016/j.socscimed.2004.04.026","ISSN":"02779536","issue":"1","journalAbbreviation":"Social Science &amp; Medicine","language":"en","page":"191-204","source":"DOI.org (Crossref)","title":"Are racial disparities in health conditional on socioeconomic status?","URL":"https://linkinghub.elsevier.com/retrieve/pii/S0277953604002072","volume":"60","author":[{"family":"Farmer","given":"Melissa M."},{"family":"Ferraro","given":"Kenneth F."}],"accessed":{"date-parts":[["2022",2,22]]},"issued":{"date-parts":[["2005",1]]}}}],"schema":"https://github.com/citation-style-language/schema/raw/master/csl-citation.json"} </w:instrText>
      </w:r>
      <w:r w:rsidRPr="00C316F8">
        <w:rPr>
          <w:rFonts w:cstheme="minorHAnsi"/>
          <w:sz w:val="24"/>
          <w:szCs w:val="24"/>
          <w:lang w:val="es-ES"/>
        </w:rPr>
        <w:fldChar w:fldCharType="separate"/>
      </w:r>
      <w:r w:rsidR="00961D28" w:rsidRPr="00C316F8">
        <w:rPr>
          <w:rFonts w:ascii="Calibri" w:hAnsi="Calibri" w:cs="Calibri"/>
          <w:sz w:val="24"/>
          <w:lang w:val="es-CO"/>
        </w:rPr>
        <w:t>(5)</w:t>
      </w:r>
      <w:r w:rsidRPr="00C316F8">
        <w:rPr>
          <w:rFonts w:cstheme="minorHAnsi"/>
          <w:sz w:val="24"/>
          <w:szCs w:val="24"/>
          <w:lang w:val="es-ES"/>
        </w:rPr>
        <w:fldChar w:fldCharType="end"/>
      </w:r>
    </w:p>
    <w:p w14:paraId="221FD346" w14:textId="01F729EF" w:rsidR="00AD5422" w:rsidRPr="00C316F8" w:rsidRDefault="00AD5422" w:rsidP="003B711F">
      <w:pPr>
        <w:jc w:val="both"/>
        <w:rPr>
          <w:rFonts w:cstheme="minorHAnsi"/>
          <w:sz w:val="24"/>
          <w:szCs w:val="24"/>
          <w:lang w:val="es-ES"/>
        </w:rPr>
      </w:pPr>
      <w:r w:rsidRPr="00C316F8">
        <w:rPr>
          <w:rFonts w:cstheme="minorHAnsi"/>
          <w:sz w:val="24"/>
          <w:szCs w:val="24"/>
          <w:lang w:val="es-ES"/>
        </w:rPr>
        <w:t xml:space="preserve">Existen dos teorías para examinar la interacción entre la raza y el estado socioeconómico. Una es la teoría de la pobreza de las minorías que habla de la desventaja de las personas afrodescendientes por ser pobres. Como se muestra en la figura </w:t>
      </w:r>
      <w:r w:rsidR="001221AE" w:rsidRPr="00C316F8">
        <w:rPr>
          <w:rFonts w:cstheme="minorHAnsi"/>
          <w:sz w:val="24"/>
          <w:szCs w:val="24"/>
          <w:lang w:val="es-ES"/>
        </w:rPr>
        <w:t>2</w:t>
      </w:r>
      <w:r w:rsidRPr="00C316F8">
        <w:rPr>
          <w:rFonts w:cstheme="minorHAnsi"/>
          <w:sz w:val="24"/>
          <w:szCs w:val="24"/>
          <w:lang w:val="es-ES"/>
        </w:rPr>
        <w:t xml:space="preserve">a, la brecha de salud entre las personas blancas y afrodescendientes es mayor para las personas que viven en pobreza y menor para las personas de estratos altos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{"citationID":"GrIFcAUZ","properties":{"formattedCitation":"(5)","plainCitation":"(5)","noteIndex":0},"citationItems":[{"id":52,"uris":["http://zotero.org/users/5785509/items/4K5I5LNQ"],"itemData":{"id":52,"type":"article-journal","container-title":"Social Science &amp; Medicine","DOI":"10.1016/j.socscimed.2004.04.026","ISSN":"02779536","issue":"1","journalAbbreviation":"Social Science &amp; Medicine","language":"en","page":"191-204","source":"DOI.org (Crossref)","title":"Are racial disparities in health conditional on socioeconomic status?","URL":"https://linkinghub.elsevier.com/retrieve/pii/S0277953604002072","volume":"60","author":[{"family":"Farmer","given":"Melissa M."},{"family":"Ferraro","given":"Kenneth F."}],"accessed":{"date-parts":[["2022",2,22]]},"issued":{"date-parts":[["2005",1]]}}}],"schema":"https://github.com/citation-style-language/schema/raw/master/csl-citation.json"} </w:instrText>
      </w:r>
      <w:r w:rsidRPr="00C316F8">
        <w:rPr>
          <w:rFonts w:cstheme="minorHAnsi"/>
          <w:sz w:val="24"/>
          <w:szCs w:val="24"/>
          <w:lang w:val="es-ES"/>
        </w:rPr>
        <w:fldChar w:fldCharType="separate"/>
      </w:r>
      <w:r w:rsidR="00961D28" w:rsidRPr="00C316F8">
        <w:rPr>
          <w:rFonts w:ascii="Calibri" w:hAnsi="Calibri" w:cs="Calibri"/>
          <w:sz w:val="24"/>
          <w:lang w:val="es-CO"/>
        </w:rPr>
        <w:t>(5)</w:t>
      </w:r>
      <w:r w:rsidRPr="00C316F8">
        <w:rPr>
          <w:rFonts w:cstheme="minorHAnsi"/>
          <w:sz w:val="24"/>
          <w:szCs w:val="24"/>
          <w:lang w:val="es-ES"/>
        </w:rPr>
        <w:fldChar w:fldCharType="end"/>
      </w:r>
      <w:r w:rsidR="008B2DF6" w:rsidRPr="00C316F8">
        <w:rPr>
          <w:rFonts w:cstheme="minorHAnsi"/>
          <w:sz w:val="24"/>
          <w:szCs w:val="24"/>
          <w:lang w:val="es-ES"/>
        </w:rPr>
        <w:t>.</w:t>
      </w:r>
      <w:r w:rsidRPr="00C316F8">
        <w:rPr>
          <w:rFonts w:cstheme="minorHAnsi"/>
          <w:sz w:val="24"/>
          <w:szCs w:val="24"/>
          <w:lang w:val="es-ES"/>
        </w:rPr>
        <w:t xml:space="preserve"> Esta hipótesis es sustentada por Wilson et al., cuando </w:t>
      </w:r>
      <w:r w:rsidR="009F5400" w:rsidRPr="00C316F8">
        <w:rPr>
          <w:rFonts w:cstheme="minorHAnsi"/>
          <w:sz w:val="24"/>
          <w:szCs w:val="24"/>
          <w:lang w:val="es-ES"/>
        </w:rPr>
        <w:t>hablan</w:t>
      </w:r>
      <w:r w:rsidRPr="00C316F8">
        <w:rPr>
          <w:rFonts w:cstheme="minorHAnsi"/>
          <w:sz w:val="24"/>
          <w:szCs w:val="24"/>
          <w:lang w:val="es-ES"/>
        </w:rPr>
        <w:t xml:space="preserve"> de los verdaderamente desfavorecidos</w:t>
      </w:r>
      <w:r w:rsidR="0006031E"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{"citationID":"LvQ44B9P","properties":{"formattedCitation":"(36)","plainCitation":"(36)","noteIndex":0},"citationItems":[{"id":51,"uris":["http://zotero.org/users/5785509/items/JMI9DPUX"],"itemData":{"id":51,"type":"book","abstract":"Renowned American sociologist William Julius Wilson takes a look at the social transformation of inner city ghettos, offering a sharp evaluation of the convergence of race and poverty. Rejecting both conservative and liberal interpretations of life in the inner city, Wilson offers essential information and a number of solutions to policymakers. The Truly Disadvantaged is a wide-ranging examination, looking at the relationship between race, employment, and education from the 1950s onwards, with surprising and provocative findings. This second edition also includes a new afterword from Wilson himself that brings the book up to date and offers fresh insight into its findings.“The Truly Disadvantaged should spur critical thinking in many quarters about the causes and possible remedies for inner city poverty. As policymakers grapple with the problems of an enlarged underclass they—as well as community leaders and all concerned Americans of all races—would be advised to examine Mr. Wilson's incisive analysis.”—Robert Greenstein, New York Times Book Review","ISBN":"978-0-226-90126-8","language":"en","number-of-pages":"320","publisher":"University of Chicago Press","publisher-place":"Chicago, IL","source":"University of Chicago Press","title":"The Truly Disadvantaged: The Inner City, the Underclass, and Public Policy, Second Edition","title-short":"The Truly Disadvantaged","URL":"https://press.uchicago.edu/ucp/books/book/chicago/T/bo13375722.html","author":[{"family":"Wilson","given":"William Julius"}],"accessed":{"date-parts":[["2022",2,22]]},"issued":{"date-parts":[["2012",7]]}}}],"schema":"https://github.com/citation-style-language/schema/raw/master/csl-citation.json"}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(36)</w:t>
      </w:r>
      <w:r w:rsidRPr="00C316F8">
        <w:rPr>
          <w:rFonts w:cstheme="minorHAnsi"/>
          <w:sz w:val="24"/>
          <w:szCs w:val="24"/>
          <w:lang w:val="es-ES"/>
        </w:rPr>
        <w:fldChar w:fldCharType="end"/>
      </w:r>
    </w:p>
    <w:p w14:paraId="39F8D61C" w14:textId="77777777" w:rsidR="00AD5422" w:rsidRPr="00C316F8" w:rsidRDefault="00AD5422" w:rsidP="003B711F">
      <w:pPr>
        <w:jc w:val="both"/>
        <w:rPr>
          <w:rFonts w:cstheme="minorHAnsi"/>
          <w:bCs/>
          <w:sz w:val="24"/>
          <w:szCs w:val="24"/>
          <w:lang w:val="es-ES"/>
        </w:rPr>
      </w:pPr>
    </w:p>
    <w:p w14:paraId="1A3AB40F" w14:textId="7CFB5DF6" w:rsidR="00AD5422" w:rsidRPr="00C316F8" w:rsidRDefault="000A0579" w:rsidP="000A0579">
      <w:pPr>
        <w:pStyle w:val="Descripcin"/>
        <w:jc w:val="both"/>
        <w:rPr>
          <w:rFonts w:ascii="Calibri" w:hAnsi="Calibri" w:cs="Calibri"/>
          <w:b/>
          <w:bCs/>
          <w:i w:val="0"/>
          <w:iCs w:val="0"/>
          <w:color w:val="auto"/>
          <w:sz w:val="24"/>
          <w:szCs w:val="24"/>
          <w:lang w:val="es-ES"/>
        </w:rPr>
      </w:pPr>
      <w:bookmarkStart w:id="16" w:name="_Toc229834707"/>
      <w:r w:rsidRPr="00C316F8">
        <w:rPr>
          <w:rFonts w:ascii="Calibri" w:hAnsi="Calibri" w:cs="Calibri"/>
          <w:b/>
          <w:bCs/>
          <w:i w:val="0"/>
          <w:iCs w:val="0"/>
          <w:color w:val="auto"/>
          <w:sz w:val="24"/>
          <w:szCs w:val="24"/>
        </w:rPr>
        <w:t xml:space="preserve">Figura </w:t>
      </w:r>
      <w:r w:rsidRPr="00C316F8">
        <w:rPr>
          <w:rFonts w:ascii="Calibri" w:hAnsi="Calibri" w:cs="Calibri"/>
          <w:b/>
          <w:bCs/>
          <w:i w:val="0"/>
          <w:iCs w:val="0"/>
          <w:color w:val="auto"/>
          <w:sz w:val="24"/>
          <w:szCs w:val="24"/>
        </w:rPr>
        <w:fldChar w:fldCharType="begin"/>
      </w:r>
      <w:r w:rsidRPr="00C316F8">
        <w:rPr>
          <w:rFonts w:ascii="Calibri" w:hAnsi="Calibri" w:cs="Calibri"/>
          <w:b/>
          <w:bCs/>
          <w:i w:val="0"/>
          <w:iCs w:val="0"/>
          <w:color w:val="auto"/>
          <w:sz w:val="24"/>
          <w:szCs w:val="24"/>
        </w:rPr>
        <w:instrText xml:space="preserve"> SEQ Figura \* ARABIC </w:instrText>
      </w:r>
      <w:r w:rsidRPr="00C316F8">
        <w:rPr>
          <w:rFonts w:ascii="Calibri" w:hAnsi="Calibri" w:cs="Calibri"/>
          <w:b/>
          <w:bCs/>
          <w:i w:val="0"/>
          <w:iCs w:val="0"/>
          <w:color w:val="auto"/>
          <w:sz w:val="24"/>
          <w:szCs w:val="24"/>
        </w:rPr>
        <w:fldChar w:fldCharType="separate"/>
      </w:r>
      <w:r w:rsidR="00432859" w:rsidRPr="00C316F8">
        <w:rPr>
          <w:rFonts w:ascii="Calibri" w:hAnsi="Calibri" w:cs="Calibri"/>
          <w:b/>
          <w:bCs/>
          <w:i w:val="0"/>
          <w:iCs w:val="0"/>
          <w:noProof/>
          <w:color w:val="auto"/>
          <w:sz w:val="24"/>
          <w:szCs w:val="24"/>
        </w:rPr>
        <w:t>2</w:t>
      </w:r>
      <w:r w:rsidRPr="00C316F8">
        <w:rPr>
          <w:rFonts w:ascii="Calibri" w:hAnsi="Calibri" w:cs="Calibri"/>
          <w:b/>
          <w:bCs/>
          <w:i w:val="0"/>
          <w:iCs w:val="0"/>
          <w:color w:val="auto"/>
          <w:sz w:val="24"/>
          <w:szCs w:val="24"/>
        </w:rPr>
        <w:fldChar w:fldCharType="end"/>
      </w:r>
      <w:r w:rsidRPr="00C316F8">
        <w:rPr>
          <w:rFonts w:ascii="Calibri" w:hAnsi="Calibri" w:cs="Calibri"/>
          <w:b/>
          <w:bCs/>
          <w:i w:val="0"/>
          <w:iCs w:val="0"/>
          <w:color w:val="auto"/>
          <w:sz w:val="24"/>
          <w:szCs w:val="24"/>
        </w:rPr>
        <w:t xml:space="preserve">. </w:t>
      </w:r>
      <w:r w:rsidR="00E65DE1" w:rsidRPr="00C316F8">
        <w:rPr>
          <w:rFonts w:ascii="Calibri" w:hAnsi="Calibri" w:cs="Calibri"/>
          <w:b/>
          <w:bCs/>
          <w:i w:val="0"/>
          <w:iCs w:val="0"/>
          <w:color w:val="auto"/>
          <w:sz w:val="24"/>
          <w:szCs w:val="24"/>
        </w:rPr>
        <w:t xml:space="preserve">Brecha de salud entre personas blancas y afrodescendientes según nivel socioeconómico (SES). Eje vertical: salud; eje horizontal: nivel socioeconómico. (a) Teoría de la pobreza de las minorías: la brecha de salud es mayor en condiciones de pobreza y menor en estratos altos. (b) Teoría del crecimiento decreciente: los beneficios socioeconómicos en salud son menores para las minorías, aumentando la brecha en estratos altos </w:t>
      </w:r>
      <w:r w:rsidR="007836E4" w:rsidRPr="00C316F8">
        <w:rPr>
          <w:rFonts w:ascii="Calibri" w:hAnsi="Calibri" w:cs="Calibri"/>
          <w:b/>
          <w:bCs/>
          <w:i w:val="0"/>
          <w:iCs w:val="0"/>
          <w:color w:val="auto"/>
          <w:sz w:val="24"/>
          <w:szCs w:val="24"/>
        </w:rPr>
        <w:t xml:space="preserve"> </w:t>
      </w:r>
      <w:r w:rsidR="007836E4" w:rsidRPr="00C316F8">
        <w:rPr>
          <w:rFonts w:asciiTheme="minorHAnsi" w:hAnsiTheme="minorHAnsi" w:cstheme="minorHAnsi"/>
          <w:b/>
          <w:bCs/>
          <w:i w:val="0"/>
          <w:iCs w:val="0"/>
          <w:sz w:val="24"/>
          <w:szCs w:val="24"/>
        </w:rPr>
        <w:fldChar w:fldCharType="begin"/>
      </w:r>
      <w:r w:rsidR="00CD2033" w:rsidRPr="00C316F8">
        <w:rPr>
          <w:rFonts w:asciiTheme="minorHAnsi" w:hAnsiTheme="minorHAnsi" w:cstheme="minorHAnsi"/>
          <w:b/>
          <w:bCs/>
          <w:i w:val="0"/>
          <w:iCs w:val="0"/>
          <w:sz w:val="24"/>
          <w:szCs w:val="24"/>
        </w:rPr>
        <w:instrText xml:space="preserve"> ADDIN ZOTERO_ITEM CSL_CITATION {"citationID":"SIs2DdiG","properties":{"formattedCitation":"(5)","plainCitation":"(5)","noteIndex":0},"citationItems":[{"id":52,"uris":["http://zotero.org/users/5785509/items/4K5I5LNQ"],"itemData":{"id":52,"type":"article-journal","container-title":"Social Science &amp; Medicine","DOI":"10.1016/j.socscimed.2004.04.026","ISSN":"02779536","issue":"1","journalAbbreviation":"Social Science &amp; Medicine","language":"en","page":"191-204","source":"DOI.org (Crossref)","title":"Are racial disparities in health conditional on socioeconomic status?","URL":"https://linkinghub.elsevier.com/retrieve/pii/S0277953604002072","volume":"60","author":[{"family":"Farmer","given":"Melissa M."},{"family":"Ferraro","given":"Kenneth F."}],"accessed":{"date-parts":[["2022",2,22]]},"issued":{"date-parts":[["2005",1]]}}}],"schema":"https://github.com/citation-style-language/schema/raw/master/csl-citation.json"} </w:instrText>
      </w:r>
      <w:r w:rsidR="007836E4" w:rsidRPr="00C316F8">
        <w:rPr>
          <w:rFonts w:asciiTheme="minorHAnsi" w:hAnsiTheme="minorHAnsi" w:cstheme="minorHAnsi"/>
          <w:b/>
          <w:bCs/>
          <w:i w:val="0"/>
          <w:iCs w:val="0"/>
          <w:sz w:val="24"/>
          <w:szCs w:val="24"/>
        </w:rPr>
        <w:fldChar w:fldCharType="separate"/>
      </w:r>
      <w:r w:rsidR="00961D28" w:rsidRPr="00C316F8">
        <w:rPr>
          <w:rFonts w:ascii="Calibri" w:hAnsi="Calibri" w:cs="Calibri"/>
          <w:sz w:val="24"/>
        </w:rPr>
        <w:t>(5)</w:t>
      </w:r>
      <w:bookmarkEnd w:id="16"/>
      <w:r w:rsidR="007836E4" w:rsidRPr="00C316F8">
        <w:rPr>
          <w:rFonts w:asciiTheme="minorHAnsi" w:hAnsiTheme="minorHAnsi" w:cstheme="minorHAnsi"/>
          <w:b/>
          <w:bCs/>
          <w:i w:val="0"/>
          <w:iCs w:val="0"/>
          <w:sz w:val="24"/>
          <w:szCs w:val="24"/>
        </w:rPr>
        <w:fldChar w:fldCharType="end"/>
      </w:r>
    </w:p>
    <w:p w14:paraId="591A6CA7" w14:textId="1C3AB6B2" w:rsidR="00AD5422" w:rsidRPr="00C316F8" w:rsidRDefault="007836E4" w:rsidP="003B711F">
      <w:pPr>
        <w:jc w:val="both"/>
        <w:rPr>
          <w:rFonts w:cstheme="minorHAnsi"/>
          <w:sz w:val="24"/>
          <w:szCs w:val="24"/>
          <w:lang w:val="es-CO"/>
        </w:rPr>
      </w:pPr>
      <w:r w:rsidRPr="00C316F8">
        <w:rPr>
          <w:rFonts w:cstheme="minorHAnsi"/>
          <w:noProof/>
          <w:sz w:val="24"/>
          <w:szCs w:val="24"/>
        </w:rPr>
        <w:drawing>
          <wp:inline distT="0" distB="0" distL="0" distR="0" wp14:anchorId="54CDF49E" wp14:editId="7EBBE5A8">
            <wp:extent cx="5608955" cy="2820670"/>
            <wp:effectExtent l="0" t="0" r="0" b="0"/>
            <wp:docPr id="200002620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08955" cy="2820670"/>
                    </a:xfrm>
                    <a:prstGeom prst="rect">
                      <a:avLst/>
                    </a:prstGeom>
                    <a:noFill/>
                    <a:ln>
                      <a:noFill/>
                    </a:ln>
                  </pic:spPr>
                </pic:pic>
              </a:graphicData>
            </a:graphic>
          </wp:inline>
        </w:drawing>
      </w:r>
    </w:p>
    <w:p w14:paraId="65C72E43" w14:textId="4E8AD347" w:rsidR="00AD5422" w:rsidRPr="00C316F8" w:rsidRDefault="00AD5422" w:rsidP="003B711F">
      <w:pPr>
        <w:jc w:val="both"/>
        <w:rPr>
          <w:rFonts w:cstheme="minorHAnsi"/>
          <w:sz w:val="24"/>
          <w:szCs w:val="24"/>
          <w:lang w:val="es-CO"/>
        </w:rPr>
      </w:pPr>
      <w:r w:rsidRPr="00C316F8">
        <w:rPr>
          <w:rFonts w:cstheme="minorHAnsi"/>
          <w:sz w:val="24"/>
          <w:szCs w:val="24"/>
          <w:lang w:val="es-CO"/>
        </w:rPr>
        <w:t xml:space="preserve">Por el contrario, la teoría de crecimiento decreciente hace referencia </w:t>
      </w:r>
      <w:r w:rsidR="00B272E7" w:rsidRPr="00C316F8">
        <w:rPr>
          <w:rFonts w:cstheme="minorHAnsi"/>
          <w:sz w:val="24"/>
          <w:szCs w:val="24"/>
          <w:lang w:val="es-CO"/>
        </w:rPr>
        <w:t>a</w:t>
      </w:r>
      <w:r w:rsidRPr="00C316F8">
        <w:rPr>
          <w:rFonts w:cstheme="minorHAnsi"/>
          <w:sz w:val="24"/>
          <w:szCs w:val="24"/>
          <w:lang w:val="es-CO"/>
        </w:rPr>
        <w:t xml:space="preserve"> que las personas pertenecientes a las minorías étnicas no experimentan los mismos beneficios socioeconómicos que los blancos. Se ha documentado que las personas afrodescendientes experimentan rendimientos decrecientes de los recursos que obtienen. Aplicado a </w:t>
      </w:r>
      <w:r w:rsidR="009F5400" w:rsidRPr="00C316F8">
        <w:rPr>
          <w:rFonts w:cstheme="minorHAnsi"/>
          <w:sz w:val="24"/>
          <w:szCs w:val="24"/>
          <w:lang w:val="es-CO"/>
        </w:rPr>
        <w:t xml:space="preserve">la </w:t>
      </w:r>
      <w:r w:rsidRPr="00C316F8">
        <w:rPr>
          <w:rFonts w:cstheme="minorHAnsi"/>
          <w:sz w:val="24"/>
          <w:szCs w:val="24"/>
          <w:lang w:val="es-CO"/>
        </w:rPr>
        <w:t>salud</w:t>
      </w:r>
      <w:r w:rsidR="009F5400" w:rsidRPr="00C316F8">
        <w:rPr>
          <w:rFonts w:cstheme="minorHAnsi"/>
          <w:sz w:val="24"/>
          <w:szCs w:val="24"/>
          <w:lang w:val="es-CO"/>
        </w:rPr>
        <w:t>,</w:t>
      </w:r>
      <w:r w:rsidRPr="00C316F8">
        <w:rPr>
          <w:rFonts w:cstheme="minorHAnsi"/>
          <w:sz w:val="24"/>
          <w:szCs w:val="24"/>
          <w:lang w:val="es-CO"/>
        </w:rPr>
        <w:t xml:space="preserve"> se dice que las diferencias entre personas afrodescendientes y blancas son mayores entre los estratos socioeconómicos (Figura </w:t>
      </w:r>
      <w:r w:rsidR="000A0579" w:rsidRPr="00C316F8">
        <w:rPr>
          <w:rFonts w:cstheme="minorHAnsi"/>
          <w:sz w:val="24"/>
          <w:szCs w:val="24"/>
          <w:lang w:val="es-CO"/>
        </w:rPr>
        <w:t>2</w:t>
      </w:r>
      <w:r w:rsidRPr="00C316F8">
        <w:rPr>
          <w:rFonts w:cstheme="minorHAnsi"/>
          <w:sz w:val="24"/>
          <w:szCs w:val="24"/>
          <w:lang w:val="es-CO"/>
        </w:rPr>
        <w:t>b)</w:t>
      </w:r>
      <w:r w:rsidR="00113EE0"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{"citationID":"svWJnmnb","properties":{"formattedCitation":"(5,37)","plainCitation":"(5,37)","noteIndex":0},"citationItems":[{"id":50,"uris":["http://zotero.org/users/5785509/items/H5DMUCHJ"],"itemData":{"id":50,"type":"webpage","title":"Racial/Ethnic Disparities in Health: The Interplay Between Discrimination and Socioeconomic Status | David R. Williams","URL":"https://scholar.harvard.edu/davidrwilliams/dwilliam/publications/racialethnic-disparities-health-interplay-between-discrimination-and-socioecon","accessed":{"date-parts":[["2022",2,22]]}}},{"id":52,"uris":["http://zotero.org/users/5785509/items/4K5I5LNQ"],"itemData":{"id":52,"type":"article-journal","container-title":"Social Science &amp; Medicine","DOI":"10.1016/j.socscimed.2004.04.026","ISSN":"02779536","issue":"1","journalAbbreviation":"Social Science &amp; Medicine","language":"en","page":"191-204","source":"DOI.org (Crossref)","title":"Are racial disparities in health conditional on socioeconomic status?","URL":"https://linkinghub.elsevier.com/retrieve/pii/S0277953604002072","volume":"60","author":[{"family":"Farmer","given":"Melissa M."},{"family":"Ferraro","given":"Kenneth F."}],"accessed":{"date-parts":[["2022",2,22]]},"issued":{"date-parts":[["2005",1]]}}}],"schema":"https://github.com/citation-style-language/schema/raw/master/csl-citation.json"} </w:instrText>
      </w:r>
      <w:r w:rsidRPr="00C316F8">
        <w:rPr>
          <w:rFonts w:cstheme="minorHAnsi"/>
          <w:sz w:val="24"/>
          <w:szCs w:val="24"/>
        </w:rPr>
        <w:fldChar w:fldCharType="separate"/>
      </w:r>
      <w:r w:rsidR="00CD2033" w:rsidRPr="00C316F8">
        <w:rPr>
          <w:rFonts w:ascii="Calibri" w:hAnsi="Calibri" w:cs="Calibri"/>
          <w:sz w:val="24"/>
          <w:lang w:val="es-CO"/>
        </w:rPr>
        <w:t>(5,37)</w:t>
      </w:r>
      <w:r w:rsidRPr="00C316F8">
        <w:rPr>
          <w:rFonts w:cstheme="minorHAnsi"/>
          <w:sz w:val="24"/>
          <w:szCs w:val="24"/>
        </w:rPr>
        <w:fldChar w:fldCharType="end"/>
      </w:r>
    </w:p>
    <w:p w14:paraId="4E164C37" w14:textId="0A1E339E" w:rsidR="00D63105" w:rsidRPr="00C316F8" w:rsidRDefault="005537FC" w:rsidP="003B711F">
      <w:pPr>
        <w:jc w:val="both"/>
        <w:rPr>
          <w:rFonts w:cstheme="minorHAnsi"/>
          <w:sz w:val="24"/>
          <w:szCs w:val="24"/>
          <w:lang w:val="es-CO"/>
        </w:rPr>
      </w:pPr>
      <w:r w:rsidRPr="00C316F8">
        <w:rPr>
          <w:rFonts w:cstheme="minorHAnsi"/>
          <w:sz w:val="24"/>
          <w:szCs w:val="24"/>
          <w:lang w:val="es-CO"/>
        </w:rPr>
        <w:lastRenderedPageBreak/>
        <w:t>Ambas teorías tienen implicaciones directas para la hipótesis central de esta tesis. Si en Colombia opera la teoría de la pobreza de las minorías, la intervención prioritaria debería ser la reducción de la pobreza multidimensional en los territorios habitados por comunidades afrocolombianas e indígenas, pues sería la pobreza —y no la etnicidad per se— el mecanismo principal de la desigualdad en salud. Si, por el contrario, opera la teoría del crecimiento decreciente, la etnicidad actuaría como un amplificador independiente del riesgo que persiste incluso cuando se controla el nivel socioeconómico, lo que exigiría intervenciones específicas orientadas a eliminar barreras estructurales de acceso basadas en la pertenencia étnica. En Colombia, dada la confluencia histórica de exclusión étnica y pobreza territorial, es plausible que ambos mecanismos operen de manera simultánea y reforzada.</w:t>
      </w:r>
    </w:p>
    <w:p w14:paraId="2546BA40" w14:textId="55418FB7" w:rsidR="00AD5422" w:rsidRPr="00C316F8" w:rsidRDefault="00AD5422" w:rsidP="003B711F">
      <w:pPr>
        <w:jc w:val="both"/>
        <w:rPr>
          <w:rFonts w:cstheme="minorHAnsi"/>
          <w:sz w:val="24"/>
          <w:szCs w:val="24"/>
          <w:lang w:val="es-CO"/>
        </w:rPr>
      </w:pPr>
      <w:r w:rsidRPr="00C316F8">
        <w:rPr>
          <w:rFonts w:cstheme="minorHAnsi"/>
          <w:sz w:val="24"/>
          <w:szCs w:val="24"/>
          <w:lang w:val="es-CO"/>
        </w:rPr>
        <w:t xml:space="preserve">También se ha deseado identificar si el racismo tiene influencia en el estado de salud. Racismo es definido como cualquier tipo de acción o actitud, individual o institucional, la cual prescribe la subordinación de un grupo minoritario reclamando que él es biogenética o culturalmente inferior. Ren et al., </w:t>
      </w:r>
      <w:r w:rsidR="004A2279" w:rsidRPr="00C316F8">
        <w:rPr>
          <w:rFonts w:cstheme="minorHAnsi"/>
          <w:sz w:val="24"/>
          <w:szCs w:val="24"/>
          <w:lang w:val="es-CO"/>
        </w:rPr>
        <w:t>buscaron</w:t>
      </w:r>
      <w:r w:rsidRPr="00C316F8">
        <w:rPr>
          <w:rFonts w:cstheme="minorHAnsi"/>
          <w:sz w:val="24"/>
          <w:szCs w:val="24"/>
          <w:lang w:val="es-CO"/>
        </w:rPr>
        <w:t xml:space="preserve"> examinar la magnitud de la discriminación influenciada por la clase social y buscar la relación entre la discriminación por raza y el estado socioeconómico y su autopercepción en el estado de salud entre blancos y afrodescendientes. Encontraron que el 58% de los afroamericanos experimentaron un episodio de discriminación y solo el 10% de las personas blancas lo describieron. La discriminación racial se dio en un 38% al buscar un trabajo, 37% en el sitio de trabajo y 10% en el cuidado médico. En los blancos la discriminación se presentó en el 6% en el sitio de trabajo y 5% al buscar trabajo. Con respecto a la discriminación por estado socioeconómico</w:t>
      </w:r>
      <w:r w:rsidR="00FD1014" w:rsidRPr="00C316F8">
        <w:rPr>
          <w:rFonts w:cstheme="minorHAnsi"/>
          <w:sz w:val="24"/>
          <w:szCs w:val="24"/>
          <w:lang w:val="es-CO"/>
        </w:rPr>
        <w:t>,</w:t>
      </w:r>
      <w:r w:rsidRPr="00C316F8">
        <w:rPr>
          <w:rFonts w:cstheme="minorHAnsi"/>
          <w:sz w:val="24"/>
          <w:szCs w:val="24"/>
          <w:lang w:val="es-CO"/>
        </w:rPr>
        <w:t xml:space="preserve"> los afroamericanos la experimentaron en un porcentaje mayor que los blancos. Los blancos experimentaron mayor discriminación por estado socioeconómico (24%) que por la raza (10%). Para los afroamericanos</w:t>
      </w:r>
      <w:r w:rsidR="00FD1014" w:rsidRPr="00C316F8">
        <w:rPr>
          <w:rFonts w:cstheme="minorHAnsi"/>
          <w:sz w:val="24"/>
          <w:szCs w:val="24"/>
          <w:lang w:val="es-CO"/>
        </w:rPr>
        <w:t>,</w:t>
      </w:r>
      <w:r w:rsidRPr="00C316F8">
        <w:rPr>
          <w:rFonts w:cstheme="minorHAnsi"/>
          <w:sz w:val="24"/>
          <w:szCs w:val="24"/>
          <w:lang w:val="es-CO"/>
        </w:rPr>
        <w:t xml:space="preserve"> la magnitud de la discriminación fue similar, cuando se analizó con el estado socioeconómico controlado por educación</w:t>
      </w:r>
      <w:r w:rsidR="00FD1014" w:rsidRPr="00C316F8">
        <w:rPr>
          <w:rFonts w:cstheme="minorHAnsi"/>
          <w:sz w:val="24"/>
          <w:szCs w:val="24"/>
          <w:lang w:val="es-CO"/>
        </w:rPr>
        <w:t>,</w:t>
      </w:r>
      <w:r w:rsidRPr="00C316F8">
        <w:rPr>
          <w:rFonts w:cstheme="minorHAnsi"/>
          <w:sz w:val="24"/>
          <w:szCs w:val="24"/>
          <w:lang w:val="es-CO"/>
        </w:rPr>
        <w:t xml:space="preserve"> se encontró que la discriminación racial tuvo una fuerte asociación con la educación en los afroamericanos, pero no en los blancos</w:t>
      </w:r>
      <w:r w:rsidR="00113EE0"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{"citationID":"HC25zjnt","properties":{"formattedCitation":"(37)","plainCitation":"(37)","noteIndex":0},"citationItems":[{"id":50,"uris":["http://zotero.org/users/5785509/items/H5DMUCHJ"],"itemData":{"id":50,"type":"webpage","title":"Racial/Ethnic Disparities in Health: The Interplay Between Discrimination and Socioeconomic Status | David R. Williams","URL":"https://scholar.harvard.edu/davidrwilliams/dwilliam/publications/racialethnic-disparities-health-interplay-between-discrimination-and-socioecon","accessed":{"date-parts":[["2022",2,22]]}}}],"schema":"https://github.com/citation-style-language/schema/raw/master/csl-citation.json"} </w:instrText>
      </w:r>
      <w:r w:rsidRPr="00C316F8">
        <w:rPr>
          <w:rFonts w:cstheme="minorHAnsi"/>
          <w:sz w:val="24"/>
          <w:szCs w:val="24"/>
        </w:rPr>
        <w:fldChar w:fldCharType="separate"/>
      </w:r>
      <w:r w:rsidR="00CD2033" w:rsidRPr="00C316F8">
        <w:rPr>
          <w:rFonts w:ascii="Calibri" w:hAnsi="Calibri" w:cs="Calibri"/>
          <w:sz w:val="24"/>
          <w:lang w:val="es-CO"/>
        </w:rPr>
        <w:t>(37)</w:t>
      </w:r>
      <w:r w:rsidRPr="00C316F8">
        <w:rPr>
          <w:rFonts w:cstheme="minorHAnsi"/>
          <w:sz w:val="24"/>
          <w:szCs w:val="24"/>
        </w:rPr>
        <w:fldChar w:fldCharType="end"/>
      </w:r>
    </w:p>
    <w:p w14:paraId="2563F109" w14:textId="0E413E1E" w:rsidR="00AD5422" w:rsidRPr="00C316F8" w:rsidRDefault="00AD5422" w:rsidP="003B711F">
      <w:pPr>
        <w:jc w:val="both"/>
        <w:rPr>
          <w:rFonts w:cstheme="minorHAnsi"/>
          <w:sz w:val="24"/>
          <w:szCs w:val="24"/>
          <w:lang w:val="es-ES"/>
        </w:rPr>
      </w:pPr>
      <w:r w:rsidRPr="00C316F8">
        <w:rPr>
          <w:rFonts w:cstheme="minorHAnsi"/>
          <w:sz w:val="24"/>
          <w:szCs w:val="24"/>
          <w:lang w:val="es-ES"/>
        </w:rPr>
        <w:t xml:space="preserve">Datos del Centro para el Control y la Prevención de Enfermedades (CDC), evidencian una reducción a la mitad de la disparidad racial del 33 % al 16 % entre 1999 y 2015 y una eliminación de la brecha a partir de los 65 años. La brecha en la esperanza de vida al nacer entre afrodescendientes y blancos se redujo a 3,4 años en 2014, desde un máximo de 7,1 en 1993. El informe sugiere que las diferencias raciales pueden ser consecuencia de una mayor exposición a factores estresantes psicológicos, económicos y ambientales como se destaca en dos artículos recientes de Case y Deaton en donde documenta el aumento en la mortalidad por todas las causas en hombres y mujeres blancas no hispanos entre 1999 y 2013. Este cambio se observa en </w:t>
      </w:r>
      <w:r w:rsidR="00027B9B" w:rsidRPr="00C316F8">
        <w:rPr>
          <w:rFonts w:cstheme="minorHAnsi"/>
          <w:sz w:val="24"/>
          <w:szCs w:val="24"/>
          <w:lang w:val="es-ES"/>
        </w:rPr>
        <w:t>EE. UU.</w:t>
      </w:r>
      <w:r w:rsidRPr="00C316F8">
        <w:rPr>
          <w:rFonts w:cstheme="minorHAnsi"/>
          <w:sz w:val="24"/>
          <w:szCs w:val="24"/>
          <w:lang w:val="es-ES"/>
        </w:rPr>
        <w:t xml:space="preserve"> y no en otros países desarrollados debido al aumento del consumo de drogas y alcohol, suicidio y enfermedades del hígado como </w:t>
      </w:r>
      <w:r w:rsidRPr="00C316F8">
        <w:rPr>
          <w:rFonts w:cstheme="minorHAnsi"/>
          <w:sz w:val="24"/>
          <w:szCs w:val="24"/>
          <w:lang w:val="es-ES"/>
        </w:rPr>
        <w:lastRenderedPageBreak/>
        <w:t>cirrosis hepática. La morbilidad en este grupo poblacional ha aumentado</w:t>
      </w:r>
      <w:r w:rsidR="00027B9B" w:rsidRPr="00C316F8">
        <w:rPr>
          <w:rFonts w:cstheme="minorHAnsi"/>
          <w:sz w:val="24"/>
          <w:szCs w:val="24"/>
          <w:lang w:val="es-ES"/>
        </w:rPr>
        <w:t>,</w:t>
      </w:r>
      <w:r w:rsidRPr="00C316F8">
        <w:rPr>
          <w:rFonts w:cstheme="minorHAnsi"/>
          <w:sz w:val="24"/>
          <w:szCs w:val="24"/>
          <w:lang w:val="es-ES"/>
        </w:rPr>
        <w:t xml:space="preserve"> como el dolor crónico, la salud mental y la incapacidad para realizar actividades cotidianas</w:t>
      </w:r>
      <w:r w:rsidR="00113E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{"citationID":"x1tx3Lsj","properties":{"formattedCitation":"(38)","plainCitation":"(38)","noteIndex":0},"citationItems":[{"id":53,"uris":["http://zotero.org/users/5785509/items/WBP45I4H"],"itemData":{"id":53,"type":"article-journal","abstract":"This paper documents a marked increase in the all-cause mortality of middle-aged white non-Hispanic men and women in the United States between 1999 and 2013. This change reversed decades of progress in mortality and was unique to the United States; no other rich country saw a similar turnaround. The midlife mortality reversal was confined to white non-Hispanics; black non-Hispanics and Hispanics at midlife, and those aged 65 and above in every racial and ethnic group, continued to see mortality rates fall. This increase for whites was largely accounted for by increasing death rates from drug and alcohol poisonings, suicide, and chronic liver diseases and cirrhosis. Although all education groups saw increases in mortality from suicide and poisonings, and an overall increase in external cause mortality, those with less education saw the most marked increases. Rising midlife mortality rates of white non-Hispanics were paralleled by increases in midlife morbidity. Self-reported declines in health, mental health, and ability to conduct activities of daily living, and increases in chronic pain and inability to work, as well as clinically measured deteriorations in liver function, all point to growing distress in this population. We comment on potential economic causes and consequences of this deterioration.","container-title":"Proceedings of the National Academy of Sciences","DOI":"10.1073/pnas.1518393112","ISSN":"0027-8424, 1091-6490","issue":"49","journalAbbreviation":"Proc Natl Acad Sci USA","language":"en","page":"15078-15083","source":"DOI.org (Crossref)","title":"Rising morbidity and mortality in midlife among white non-Hispanic Americans in the 21st century","URL":"http://www.pnas.org/lookup/doi/10.1073/pnas.1518393112","volume":"112","author":[{"family":"Case","given":"Anne"},{"family":"Deaton","given":"Angus"}],"accessed":{"date-parts":[["2022",2,22]]},"issued":{"date-parts":[["2015",12,8]]}}}],"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(38)</w:t>
      </w:r>
      <w:r w:rsidRPr="00C316F8">
        <w:rPr>
          <w:rFonts w:cstheme="minorHAnsi"/>
          <w:sz w:val="24"/>
          <w:szCs w:val="24"/>
          <w:lang w:val="es-ES"/>
        </w:rPr>
        <w:fldChar w:fldCharType="end"/>
      </w:r>
      <w:r w:rsidRPr="00C316F8">
        <w:rPr>
          <w:rFonts w:cstheme="minorHAnsi"/>
          <w:sz w:val="24"/>
          <w:szCs w:val="24"/>
          <w:lang w:val="es-ES"/>
        </w:rPr>
        <w:t xml:space="preserve">  </w:t>
      </w:r>
    </w:p>
    <w:p w14:paraId="06229A33" w14:textId="5A947CCD" w:rsidR="00AD5422" w:rsidRPr="00C316F8" w:rsidRDefault="00AD5422" w:rsidP="003B711F">
      <w:pPr>
        <w:jc w:val="both"/>
        <w:rPr>
          <w:rFonts w:cstheme="minorHAnsi"/>
          <w:sz w:val="24"/>
          <w:szCs w:val="24"/>
          <w:lang w:val="es-ES"/>
        </w:rPr>
      </w:pPr>
      <w:r w:rsidRPr="00C316F8">
        <w:rPr>
          <w:rFonts w:cstheme="minorHAnsi"/>
          <w:sz w:val="24"/>
          <w:szCs w:val="24"/>
          <w:lang w:val="es-ES"/>
        </w:rPr>
        <w:t>La relación entre el estado socioeconómico y la salud tiene varias explicaciones, el estado socioeconómico causa los resultados en la salud, los resultados de la salud son causa del estado socioeconómico</w:t>
      </w:r>
      <w:r w:rsidR="00027B9B" w:rsidRPr="00C316F8">
        <w:rPr>
          <w:rFonts w:cstheme="minorHAnsi"/>
          <w:sz w:val="24"/>
          <w:szCs w:val="24"/>
          <w:lang w:val="es-ES"/>
        </w:rPr>
        <w:t>,</w:t>
      </w:r>
      <w:r w:rsidRPr="00C316F8">
        <w:rPr>
          <w:rFonts w:cstheme="minorHAnsi"/>
          <w:sz w:val="24"/>
          <w:szCs w:val="24"/>
          <w:lang w:val="es-ES"/>
        </w:rPr>
        <w:t xml:space="preserve"> o la salud y el estado socioeconómico son el resultado de un tercer factor. </w:t>
      </w:r>
      <w:r w:rsidR="00027B9B" w:rsidRPr="00C316F8">
        <w:rPr>
          <w:rFonts w:cstheme="minorHAnsi"/>
          <w:sz w:val="24"/>
          <w:szCs w:val="24"/>
          <w:lang w:val="es-ES"/>
        </w:rPr>
        <w:t>Existen</w:t>
      </w:r>
      <w:r w:rsidRPr="00C316F8">
        <w:rPr>
          <w:rFonts w:cstheme="minorHAnsi"/>
          <w:sz w:val="24"/>
          <w:szCs w:val="24"/>
          <w:lang w:val="es-ES"/>
        </w:rPr>
        <w:t xml:space="preserve"> dificultades metodológicas para determinar su relación causal con la mortalidad y un enfoque factible es adoptar una perspectiva multidimensional del curso de la vida y considerar la dependencia de la trayectoria de los indicadores, el bienestar y su influencia </w:t>
      </w:r>
      <w:r w:rsidR="00027B9B" w:rsidRPr="00C316F8">
        <w:rPr>
          <w:rFonts w:cstheme="minorHAnsi"/>
          <w:sz w:val="24"/>
          <w:szCs w:val="24"/>
          <w:lang w:val="es-ES"/>
        </w:rPr>
        <w:t>recíproca</w:t>
      </w:r>
      <w:r w:rsidRPr="00C316F8">
        <w:rPr>
          <w:rFonts w:cstheme="minorHAnsi"/>
          <w:sz w:val="24"/>
          <w:szCs w:val="24"/>
          <w:lang w:val="es-ES"/>
        </w:rPr>
        <w:t xml:space="preserve"> en la mortalidad</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{"citationID":"koTtfSaJ","properties":{"formattedCitation":"(39)","plainCitation":"(39)","noteIndex":0},"citationItems":[{"id":57,"uris":["http://zotero.org/users/5785509/items/ICDALZX2"],"itemData":{"id":57,"type":"article-journal","archive":"Springer Nature Journals","archive_location":"edssjs.D4D44910","container-title":"Archives of Public Health","DOI":"10.1186/s13690-021-00559-7","ISSN":"2049-3258","issue":"1","journalAbbreviation":"Archives of Public Health","title":"Socioeconomic status, well-being and mortality: a comprehensive life course analysis of panel data, Germany, 1984-2016","URL":"https://search.ebscohost.com/login.aspx?direct=true&amp;db=edssjs&amp;AN=edssjs.D4D44910&amp;site=eds-live","volume":"79","author":[{"family":"Montano","given":"Diego"}],"accessed":{"date-parts":[["2022",2,21]]},"issued":{"date-parts":[["2021",12,1]]}}}],"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(39)</w:t>
      </w:r>
      <w:r w:rsidRPr="00C316F8">
        <w:rPr>
          <w:rFonts w:cstheme="minorHAnsi"/>
          <w:sz w:val="24"/>
          <w:szCs w:val="24"/>
          <w:lang w:val="es-ES"/>
        </w:rPr>
        <w:fldChar w:fldCharType="end"/>
      </w:r>
    </w:p>
    <w:p w14:paraId="78824548" w14:textId="2A5549EE" w:rsidR="00AD5422" w:rsidRPr="00C316F8" w:rsidRDefault="00984878" w:rsidP="003B711F">
      <w:pPr>
        <w:jc w:val="both"/>
        <w:rPr>
          <w:rFonts w:cstheme="minorHAnsi"/>
          <w:sz w:val="24"/>
          <w:szCs w:val="24"/>
          <w:lang w:val="es-ES"/>
        </w:rPr>
      </w:pPr>
      <w:r w:rsidRPr="00C316F8">
        <w:rPr>
          <w:rFonts w:cstheme="minorHAnsi"/>
          <w:sz w:val="24"/>
          <w:szCs w:val="24"/>
          <w:lang w:val="es-ES"/>
        </w:rPr>
        <w:t>En el contexto colombiano, estas disparidades étnicas adquieren particular relevancia dado que comunidades afrocolombianas e indígenas habitan predominantemente en territorios con mayor pobreza multidimensional y menor acceso a servicios de salud, condiciones que, como se demostrará, amplificaron su vulnerabilidad frente al COVID-19.</w:t>
      </w:r>
    </w:p>
    <w:p w14:paraId="38A8C22F" w14:textId="6ED8E91A" w:rsidR="00AD5422" w:rsidRPr="00C316F8" w:rsidRDefault="003E76D7" w:rsidP="003E76D7">
      <w:pPr>
        <w:pStyle w:val="Ttulo2"/>
      </w:pPr>
      <w:bookmarkStart w:id="17" w:name="_Toc229834634"/>
      <w:r w:rsidRPr="00C316F8">
        <w:t>3.2.2</w:t>
      </w:r>
      <w:r w:rsidRPr="00C316F8">
        <w:tab/>
        <w:t>Educación</w:t>
      </w:r>
      <w:bookmarkEnd w:id="17"/>
    </w:p>
    <w:p w14:paraId="66F9B0DD" w14:textId="77777777" w:rsidR="000341EA" w:rsidRPr="00C316F8" w:rsidRDefault="000341EA" w:rsidP="000341EA">
      <w:pPr>
        <w:rPr>
          <w:lang w:val="es-CO"/>
        </w:rPr>
      </w:pPr>
    </w:p>
    <w:p w14:paraId="3D2E559F" w14:textId="75A5E4F9" w:rsidR="00AD5422" w:rsidRPr="00C316F8" w:rsidRDefault="00AD5422" w:rsidP="003B711F">
      <w:pPr>
        <w:jc w:val="both"/>
        <w:rPr>
          <w:rFonts w:cstheme="minorHAnsi"/>
          <w:sz w:val="24"/>
          <w:szCs w:val="24"/>
          <w:lang w:val="es-ES"/>
        </w:rPr>
      </w:pPr>
      <w:r w:rsidRPr="00C316F8">
        <w:rPr>
          <w:rFonts w:cstheme="minorHAnsi"/>
          <w:sz w:val="24"/>
          <w:szCs w:val="24"/>
          <w:lang w:val="es-ES"/>
        </w:rPr>
        <w:t>Una de las ventajas de la educación sobre las otras variables del estado socioeconómico es que es bien clasificada entre hombres y mujeres, entre las personas activas e inactivas económicamente y los grupos de trabajadores y ancianos. Los individuos completan su nivel educativo en la juventud y permanecen estables en el tiempo</w:t>
      </w:r>
      <w:r w:rsidR="00F10CB1" w:rsidRPr="00C316F8">
        <w:rPr>
          <w:rFonts w:cstheme="minorHAnsi"/>
          <w:sz w:val="24"/>
          <w:szCs w:val="24"/>
          <w:lang w:val="es-ES"/>
        </w:rPr>
        <w:t>,</w:t>
      </w:r>
      <w:r w:rsidRPr="00C316F8">
        <w:rPr>
          <w:rFonts w:cstheme="minorHAnsi"/>
          <w:sz w:val="24"/>
          <w:szCs w:val="24"/>
          <w:lang w:val="es-ES"/>
        </w:rPr>
        <w:t xml:space="preserve"> y así el nivel educativo no es influenciado por las condiciones de salud</w:t>
      </w:r>
      <w:r w:rsidR="00F10CB1" w:rsidRPr="00C316F8">
        <w:rPr>
          <w:rFonts w:cstheme="minorHAnsi"/>
          <w:sz w:val="24"/>
          <w:szCs w:val="24"/>
          <w:lang w:val="es-ES"/>
        </w:rPr>
        <w:t>;</w:t>
      </w:r>
      <w:r w:rsidRPr="00C316F8">
        <w:rPr>
          <w:rFonts w:cstheme="minorHAnsi"/>
          <w:sz w:val="24"/>
          <w:szCs w:val="24"/>
          <w:lang w:val="es-ES"/>
        </w:rPr>
        <w:t xml:space="preserve"> puede influir en los cambios en el empleo y en el ingreso, generando menor riesgo con la causalidad inversa. La educación refleja el stock de capital humano a través del ciclo vital</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{"citationID":"8vZlDSsz","properties":{"formattedCitation":"(40)","plainCitation":"(40)","noteIndex":0},"citationItems":[{"id":48,"uris":["http://zotero.org/users/5785509/items/8PQF2N8K"],"itemData":{"id":48,"type":"article-journal","abstract":"We document social inequalities in cause-speciﬁc mortality at ages 35–64 in Finland and the United States, countries with different health systems, income distributions, and social welfare programs for the working-aged population. The education–mortality gradient was the most marked for Finnish men and for causes of death linked to risk-taking, health behaviors, and stress. The association between family income and mortality was curvilinear in both countries. The effects of education and income were strongly attenuated after controlling for each other, marital status, and labor force participation, with the greatest attenuation observed for income in Finland and education in the United States.","container-title":"European Journal of Population / Revue européenne de Démographie","DOI":"10.1007/s10680-006-0003-5","ISSN":"0168-6577, 1572-9885","issue":"2","journalAbbreviation":"Eur J Population","language":"en","page":"179-203","source":"DOI.org (Crossref)","title":"Socioeconomic differentials in mortality in Finland and the United States: the role of education and income","title-short":"Socioeconomic differentials in mortality in Finland and the United States","URL":"http://link.springer.com/10.1007/s10680-006-0003-5","volume":"22","author":[{"family":"Elo","given":"Irma T."},{"family":"Martikainen","given":"Pekka"},{"family":"Smith","given":"Kirsten P."}],"accessed":{"date-parts":[["2022",2,25]]},"issued":{"date-parts":[["2006",11,1]]}}}],"schema":"https://github.com/citation-style-language/schema/raw/master/csl-citation.json"}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(40)</w:t>
      </w:r>
      <w:r w:rsidRPr="00C316F8">
        <w:rPr>
          <w:rFonts w:cstheme="minorHAnsi"/>
          <w:sz w:val="24"/>
          <w:szCs w:val="24"/>
          <w:lang w:val="es-ES"/>
        </w:rPr>
        <w:fldChar w:fldCharType="end"/>
      </w:r>
    </w:p>
    <w:p w14:paraId="359798B8" w14:textId="77777777" w:rsidR="00AD5422" w:rsidRPr="00C316F8" w:rsidRDefault="00AD5422" w:rsidP="003B711F">
      <w:pPr>
        <w:jc w:val="both"/>
        <w:rPr>
          <w:rFonts w:cstheme="minorHAnsi"/>
          <w:sz w:val="24"/>
          <w:szCs w:val="24"/>
          <w:lang w:val="es-ES"/>
        </w:rPr>
      </w:pPr>
      <w:r w:rsidRPr="00C316F8">
        <w:rPr>
          <w:rFonts w:cstheme="minorHAnsi"/>
          <w:sz w:val="24"/>
          <w:szCs w:val="24"/>
          <w:lang w:val="es-ES"/>
        </w:rPr>
        <w:t xml:space="preserve">La asociación entre educación, estado de salud y mortalidad se explica por varios factores los cuales han sido agrupados por varias categorías: </w:t>
      </w:r>
    </w:p>
    <w:p w14:paraId="13CA8A29" w14:textId="77777777" w:rsidR="00AD5422" w:rsidRPr="00C316F8" w:rsidRDefault="00AD5422" w:rsidP="00B96D9D">
      <w:pPr>
        <w:pStyle w:val="Prrafodelista"/>
        <w:numPr>
          <w:ilvl w:val="0"/>
          <w:numId w:val="4"/>
        </w:numPr>
        <w:jc w:val="both"/>
        <w:rPr>
          <w:rFonts w:cstheme="minorHAnsi"/>
          <w:sz w:val="24"/>
          <w:szCs w:val="24"/>
          <w:lang w:val="es-ES"/>
        </w:rPr>
      </w:pPr>
      <w:r w:rsidRPr="00C316F8">
        <w:rPr>
          <w:rFonts w:cstheme="minorHAnsi"/>
          <w:sz w:val="24"/>
          <w:szCs w:val="24"/>
          <w:lang w:val="es-ES"/>
        </w:rPr>
        <w:t>Relaciones sociales y factores psicosociales.</w:t>
      </w:r>
    </w:p>
    <w:p w14:paraId="5C230D07" w14:textId="77777777" w:rsidR="00AD5422" w:rsidRPr="00C316F8" w:rsidRDefault="00AD5422" w:rsidP="00B96D9D">
      <w:pPr>
        <w:pStyle w:val="Prrafodelista"/>
        <w:numPr>
          <w:ilvl w:val="0"/>
          <w:numId w:val="4"/>
        </w:numPr>
        <w:jc w:val="both"/>
        <w:rPr>
          <w:rFonts w:cstheme="minorHAnsi"/>
          <w:sz w:val="24"/>
          <w:szCs w:val="24"/>
          <w:lang w:val="es-ES"/>
        </w:rPr>
      </w:pPr>
      <w:r w:rsidRPr="00C316F8">
        <w:rPr>
          <w:rFonts w:cstheme="minorHAnsi"/>
          <w:sz w:val="24"/>
          <w:szCs w:val="24"/>
          <w:lang w:val="es-ES"/>
        </w:rPr>
        <w:t>Conocimiento de información relacionada con la salud y comportamientos saludables.</w:t>
      </w:r>
    </w:p>
    <w:p w14:paraId="47B79FFB" w14:textId="77777777" w:rsidR="00AD5422" w:rsidRPr="00C316F8" w:rsidRDefault="00AD5422" w:rsidP="00B96D9D">
      <w:pPr>
        <w:pStyle w:val="Prrafodelista"/>
        <w:numPr>
          <w:ilvl w:val="0"/>
          <w:numId w:val="4"/>
        </w:numPr>
        <w:jc w:val="both"/>
        <w:rPr>
          <w:rFonts w:cstheme="minorHAnsi"/>
          <w:sz w:val="24"/>
          <w:szCs w:val="24"/>
          <w:lang w:val="es-ES"/>
        </w:rPr>
      </w:pPr>
      <w:r w:rsidRPr="00C316F8">
        <w:rPr>
          <w:rFonts w:cstheme="minorHAnsi"/>
          <w:sz w:val="24"/>
          <w:szCs w:val="24"/>
          <w:lang w:val="es-ES"/>
        </w:rPr>
        <w:t xml:space="preserve">Recursos económicos. </w:t>
      </w:r>
    </w:p>
    <w:p w14:paraId="6A81433D" w14:textId="5F2514F4" w:rsidR="00AD5422" w:rsidRPr="00C316F8" w:rsidRDefault="00AD5422" w:rsidP="003B711F">
      <w:pPr>
        <w:jc w:val="both"/>
        <w:rPr>
          <w:rFonts w:cstheme="minorHAnsi"/>
          <w:sz w:val="24"/>
          <w:szCs w:val="24"/>
          <w:lang w:val="es-ES"/>
        </w:rPr>
      </w:pPr>
      <w:r w:rsidRPr="00C316F8">
        <w:rPr>
          <w:rFonts w:cstheme="minorHAnsi"/>
          <w:sz w:val="24"/>
          <w:szCs w:val="24"/>
          <w:lang w:val="es-ES"/>
        </w:rPr>
        <w:t>Las personas más educadas tienen mejores relaciones sociales, mayor soporte social y mejores competencias para resolver problemas y estrés, tienen mejor conocimiento sobre tecnologías médicas, pueden seguir mejor las instrucciones sobre medicaciones y cambios de hábitos, y reconocer los síntomas de la enfermedad. Las diferencias en educación se hacen evidentes en la presencia de hábitos poco saludables como el consumo de alcohol y drogas. La educación comparada con el ingreso ha demostrado una mejor asociación con comportamientos saludables</w:t>
      </w:r>
      <w:r w:rsidR="00E902E0" w:rsidRPr="00C316F8">
        <w:rPr>
          <w:rFonts w:cstheme="minorHAnsi"/>
          <w:sz w:val="24"/>
          <w:szCs w:val="24"/>
          <w:lang w:val="es-ES"/>
        </w:rPr>
        <w:t>.</w:t>
      </w:r>
      <w:r w:rsidR="00965969"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{"citationID":"eAWlA8ul","properties":{"formattedCitation":"(40)","plainCitation":"(40)","noteIndex":0},"citationItems":[{"id":48,"uris":["http://zotero.org/users/5785509/items/8PQF2N8K"],"itemData":{"id":48,"type":"article-journal","abstract":"We document social inequalities in cause-speciﬁc mortality at ages 35–64 in Finland and the United States, countries with different health systems, income distributions, and social welfare programs for the working-aged population. The education–mortality gradient was the most marked for Finnish men and for causes of death linked to risk-taking, health behaviors, and stress. The association between family income and mortality was curvilinear in both countries. The effects of education and income were strongly attenuated after controlling for each other, marital status, and labor force participation, with the greatest attenuation observed for income in Finland and education in the United States.","container-title":"European Journal of Population / Revue européenne de Démographie","DOI":"10.1007/s10680-006-0003-5","ISSN":"0168-6577, 1572-9885","issue":"2","journalAbbreviation":"Eur J Population","language":"en","page":"179-203","source":"DOI.org (Crossref)","title":"Socioeconomic differentials in mortality in Finland and the United States: the role of education and income","title-short":"Socioeconomic differentials in mortality in Finland and the United States","URL":"http://link.springer.com/10.1007/s10680-006-0003-5","volume":"22","author":[{"family":"Elo","given":"Irma T."},{"family":"Martikainen","given":"Pekka"},{"family":"Smith","given":"Kirsten P."}],"accessed":{"date-parts":[["2022",2,25]]},"issued":{"date-parts":[["2006",11,1]]}}}],"schema":"https://github.com/citation-style-language/schema/raw/master/csl-citation.json"}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(40)</w:t>
      </w:r>
      <w:r w:rsidRPr="00C316F8">
        <w:rPr>
          <w:rFonts w:cstheme="minorHAnsi"/>
          <w:sz w:val="24"/>
          <w:szCs w:val="24"/>
          <w:lang w:val="es-ES"/>
        </w:rPr>
        <w:fldChar w:fldCharType="end"/>
      </w:r>
      <w:r w:rsidRPr="00C316F8">
        <w:rPr>
          <w:rFonts w:cstheme="minorHAnsi"/>
          <w:sz w:val="24"/>
          <w:szCs w:val="24"/>
          <w:lang w:val="es-ES"/>
        </w:rPr>
        <w:t xml:space="preserve"> </w:t>
      </w:r>
    </w:p>
    <w:p w14:paraId="7BFD59F1" w14:textId="1EA6DBC9" w:rsidR="00AD5422" w:rsidRPr="00C316F8" w:rsidRDefault="007160E9" w:rsidP="003B711F">
      <w:pPr>
        <w:jc w:val="both"/>
        <w:rPr>
          <w:rFonts w:cstheme="minorHAnsi"/>
          <w:sz w:val="24"/>
          <w:szCs w:val="24"/>
          <w:lang w:val="es-ES"/>
        </w:rPr>
      </w:pPr>
      <w:r w:rsidRPr="00C316F8">
        <w:rPr>
          <w:rFonts w:cstheme="minorHAnsi"/>
          <w:sz w:val="24"/>
          <w:szCs w:val="24"/>
          <w:lang w:val="es-ES"/>
        </w:rPr>
        <w:lastRenderedPageBreak/>
        <w:t xml:space="preserve">Uno de los factores críticos en la educación de los adultos es el efecto sobre la mortalidad entre hombres y mujeres, varios estudios han encontrado que uno de los mayores factores es la educación materna más que el estado de educación del padre. Un estudio en </w:t>
      </w:r>
      <w:r w:rsidR="00E902E0" w:rsidRPr="00C316F8">
        <w:rPr>
          <w:rFonts w:cstheme="minorHAnsi"/>
          <w:sz w:val="24"/>
          <w:szCs w:val="24"/>
          <w:lang w:val="es-ES"/>
        </w:rPr>
        <w:t>Bangladesh encontró</w:t>
      </w:r>
      <w:r w:rsidRPr="00C316F8">
        <w:rPr>
          <w:rFonts w:cstheme="minorHAnsi"/>
          <w:sz w:val="24"/>
          <w:szCs w:val="24"/>
          <w:lang w:val="es-ES"/>
        </w:rPr>
        <w:t xml:space="preserve"> que la mortalidad fue baja en las mujeres con educación formal o educación Koranic encontrando que promover la educación en las mujeres puede mejorar la supervivencia incluyendo a sus esposos</w:t>
      </w:r>
      <w:r w:rsidR="00E902E0" w:rsidRPr="00C316F8">
        <w:rPr>
          <w:rFonts w:cstheme="minorHAnsi"/>
          <w:sz w:val="24"/>
          <w:szCs w:val="24"/>
          <w:lang w:val="es-ES"/>
        </w:rPr>
        <w:t>.</w:t>
      </w:r>
      <w:r w:rsidRPr="00C316F8">
        <w:rPr>
          <w:rFonts w:cstheme="minorHAnsi"/>
          <w:sz w:val="24"/>
          <w:szCs w:val="24"/>
          <w:lang w:val="es-ES"/>
        </w:rPr>
        <w:t xml:space="preserve"> </w:t>
      </w:r>
      <w:r w:rsidR="00AD5422"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{"citationID":"uC19oo75","properties":{"formattedCitation":"(41)","plainCitation":"(41)","noteIndex":0},"citationItems":[{"id":45,"uris":["http://zotero.org/users/5785509/items/IWYZHJ7C"],"itemData":{"id":45,"type":"article-journal","container-title":"Journal of Epidemiology &amp; Community Health","DOI":"10.1136/jech.2003.007351","ISSN":"0143-005X","issue":"4","journalAbbreviation":"Journal of Epidemiology &amp; Community Health","language":"en","page":"315-320","source":"DOI.org (Crossref)","title":"Effects of education and other socioeconomic factors on middle age mortality in rural Bangladesh","URL":"https://jech.bmj.com/lookup/doi/10.1136/jech.2003.007351","volume":"58","author":[{"family":"Hurt","given":"L S"}],"accessed":{"date-parts":[["2022",2,25]]},"issued":{"date-parts":[["2004",4,1]]}}}],"schema":"https://github.com/citation-style-language/schema/raw/master/csl-citation.json"} </w:instrText>
      </w:r>
      <w:r w:rsidR="00AD5422" w:rsidRPr="00C316F8">
        <w:rPr>
          <w:rFonts w:cstheme="minorHAnsi"/>
          <w:sz w:val="24"/>
          <w:szCs w:val="24"/>
          <w:lang w:val="es-ES"/>
        </w:rPr>
        <w:fldChar w:fldCharType="separate"/>
      </w:r>
      <w:r w:rsidR="00CD2033" w:rsidRPr="00C316F8">
        <w:rPr>
          <w:rFonts w:ascii="Calibri" w:hAnsi="Calibri" w:cs="Calibri"/>
          <w:sz w:val="24"/>
          <w:lang w:val="es-CO"/>
        </w:rPr>
        <w:t>(41)</w:t>
      </w:r>
      <w:r w:rsidR="00AD5422" w:rsidRPr="00C316F8">
        <w:rPr>
          <w:rFonts w:cstheme="minorHAnsi"/>
          <w:sz w:val="24"/>
          <w:szCs w:val="24"/>
          <w:lang w:val="es-ES"/>
        </w:rPr>
        <w:fldChar w:fldCharType="end"/>
      </w:r>
    </w:p>
    <w:p w14:paraId="41706A23" w14:textId="516DFF8A" w:rsidR="00AD5422" w:rsidRPr="00C316F8" w:rsidRDefault="00F01BC4" w:rsidP="003B711F">
      <w:pPr>
        <w:jc w:val="both"/>
        <w:rPr>
          <w:rFonts w:cstheme="minorHAnsi"/>
          <w:bCs/>
          <w:sz w:val="24"/>
          <w:szCs w:val="24"/>
          <w:lang w:val="es-ES"/>
        </w:rPr>
      </w:pPr>
      <w:r w:rsidRPr="00C316F8">
        <w:rPr>
          <w:rFonts w:cstheme="minorHAnsi"/>
          <w:sz w:val="24"/>
          <w:szCs w:val="24"/>
          <w:lang w:val="es-ES"/>
        </w:rPr>
        <w:t>En cuanto a la educación y su relación con la mortalidad, se ha señalado que, si bien constituye un indicador del estado socioeconómico, presenta varias limitaciones.</w:t>
      </w:r>
      <w:r w:rsidR="00AD5422" w:rsidRPr="00C316F8">
        <w:rPr>
          <w:rFonts w:cstheme="minorHAnsi"/>
          <w:sz w:val="24"/>
          <w:szCs w:val="24"/>
          <w:lang w:val="es-ES"/>
        </w:rPr>
        <w:t xml:space="preserve"> En relación con el ingreso, la educación ha presentado una disminución en la variabilidad en las últimas décadas. Se </w:t>
      </w:r>
      <w:r w:rsidR="002D0942" w:rsidRPr="00C316F8">
        <w:rPr>
          <w:rFonts w:cstheme="minorHAnsi"/>
          <w:sz w:val="24"/>
          <w:szCs w:val="24"/>
          <w:lang w:val="es-ES"/>
        </w:rPr>
        <w:t>han</w:t>
      </w:r>
      <w:r w:rsidR="00AD5422" w:rsidRPr="00C316F8">
        <w:rPr>
          <w:rFonts w:cstheme="minorHAnsi"/>
          <w:sz w:val="24"/>
          <w:szCs w:val="24"/>
          <w:lang w:val="es-ES"/>
        </w:rPr>
        <w:t xml:space="preserve"> encontrado dos grupos relevantes que son el haber terminado la secundaria y finalizado la universidad. Las medidas de desempeño educativo no son diferenciales del estado socioeconómico, pueden presentarse individuos con el mismo puntaje educativo y con diferentes ingresos. Los logros educativos han cambiado con el tiempo, se ha logrado disminuir las brechas educativas en las diferentes edades</w:t>
      </w:r>
      <w:r w:rsidR="00E902E0" w:rsidRPr="00C316F8">
        <w:rPr>
          <w:rFonts w:cstheme="minorHAnsi"/>
          <w:sz w:val="24"/>
          <w:szCs w:val="24"/>
          <w:lang w:val="es-ES"/>
        </w:rPr>
        <w:t>.</w:t>
      </w:r>
      <w:r w:rsidR="00AD5422" w:rsidRPr="00C316F8">
        <w:rPr>
          <w:rFonts w:cstheme="minorHAnsi"/>
          <w:sz w:val="24"/>
          <w:szCs w:val="24"/>
          <w:lang w:val="es-ES"/>
        </w:rPr>
        <w:t xml:space="preserve"> </w:t>
      </w:r>
      <w:r w:rsidR="00AD5422"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{"citationID":"EM1DgnYn","properties":{"formattedCitation":"(31)","plainCitation":"(31)","noteIndex":0},"citationItems":[{"id":55,"uris":["http://zotero.org/users/5785509/items/H2FLXKWA"],"itemData":{"id":55,"type":"article-journal","abstract":"This review focuses on the widening disparities in death rates by socioeconomic class. In recent years, there has been a major increase in the availability of data linking mortality risk and measures of socioeconomic status. The result has been a virtual explosion of new empirical research showing not only the existence of large inequities in the risk of death between those at the top and those at the bottom of the socioeconomic distribution, but also that the gaps have been growing. This assessment of the empirical research finds a consistent pattern of growing disparities within the United States. However, this widening gap in death rates does appear to be a uniquely American phenomenon, as the disparities by socioeconomic class appear to be stable or even declining in Europe and Canada.","container-title":"Annual Review of Public Health","DOI":"10.1146/annurev-publhealth-040617-014615","ISSN":"0163-7525, 1545-2093","issue":"1","journalAbbreviation":"Annu. Rev. Public Health","language":"en","page":"237-251","source":"DOI.org (Crossref)","title":"Increasing Disparities in Mortality by Socioeconomic Status","URL":"https://www.annualreviews.org/doi/10.1146/annurev-publhealth-040617-014615","volume":"39","author":[{"family":"Bosworth","given":"Barry"}],"accessed":{"date-parts":[["2022",2,21]]},"issued":{"date-parts":[["2018",4,1]]}}}],"schema":"https://github.com/citation-style-language/schema/raw/master/csl-citation.json"} </w:instrText>
      </w:r>
      <w:r w:rsidR="00AD5422" w:rsidRPr="00C316F8">
        <w:rPr>
          <w:rFonts w:cstheme="minorHAnsi"/>
          <w:sz w:val="24"/>
          <w:szCs w:val="24"/>
          <w:lang w:val="es-ES"/>
        </w:rPr>
        <w:fldChar w:fldCharType="separate"/>
      </w:r>
      <w:r w:rsidR="00707240" w:rsidRPr="00C316F8">
        <w:rPr>
          <w:rFonts w:cstheme="minorHAnsi"/>
          <w:sz w:val="24"/>
          <w:szCs w:val="24"/>
          <w:lang w:val="es-CO"/>
        </w:rPr>
        <w:t>(31)</w:t>
      </w:r>
      <w:r w:rsidR="00AD5422" w:rsidRPr="00C316F8">
        <w:rPr>
          <w:rFonts w:cstheme="minorHAnsi"/>
          <w:sz w:val="24"/>
          <w:szCs w:val="24"/>
          <w:lang w:val="es-ES"/>
        </w:rPr>
        <w:fldChar w:fldCharType="end"/>
      </w:r>
    </w:p>
    <w:p w14:paraId="10A496A9" w14:textId="43B007D5" w:rsidR="00AD5422" w:rsidRPr="00C316F8" w:rsidRDefault="00AD5422" w:rsidP="003B711F">
      <w:pPr>
        <w:jc w:val="both"/>
        <w:rPr>
          <w:rFonts w:cstheme="minorHAnsi"/>
          <w:sz w:val="24"/>
          <w:szCs w:val="24"/>
          <w:lang w:val="es-ES"/>
        </w:rPr>
      </w:pPr>
      <w:r w:rsidRPr="00C316F8">
        <w:rPr>
          <w:rFonts w:cstheme="minorHAnsi"/>
          <w:sz w:val="24"/>
          <w:szCs w:val="24"/>
          <w:lang w:val="es-ES"/>
        </w:rPr>
        <w:t xml:space="preserve">Se han propuesto dos hipótesis sobre el efecto de la educación sobre la mortalidad: </w:t>
      </w:r>
      <w:r w:rsidR="009249C1" w:rsidRPr="00C316F8">
        <w:rPr>
          <w:rFonts w:cstheme="minorHAnsi"/>
          <w:sz w:val="24"/>
          <w:szCs w:val="24"/>
          <w:lang w:val="es-ES"/>
        </w:rPr>
        <w:t>la</w:t>
      </w:r>
      <w:r w:rsidRPr="00C316F8">
        <w:rPr>
          <w:rFonts w:cstheme="minorHAnsi"/>
          <w:sz w:val="24"/>
          <w:szCs w:val="24"/>
          <w:lang w:val="es-ES"/>
        </w:rPr>
        <w:t xml:space="preserve"> “ventaja acumulativa”</w:t>
      </w:r>
      <w:r w:rsidR="009249C1" w:rsidRPr="00C316F8">
        <w:rPr>
          <w:rFonts w:cstheme="minorHAnsi"/>
          <w:sz w:val="24"/>
          <w:szCs w:val="24"/>
          <w:lang w:val="es-ES"/>
        </w:rPr>
        <w:t>,</w:t>
      </w:r>
      <w:r w:rsidRPr="00C316F8">
        <w:rPr>
          <w:rFonts w:cstheme="minorHAnsi"/>
          <w:sz w:val="24"/>
          <w:szCs w:val="24"/>
          <w:lang w:val="es-ES"/>
        </w:rPr>
        <w:t xml:space="preserve"> en donde el efecto de la educación se vuelve más fuerte con la edad</w:t>
      </w:r>
      <w:r w:rsidR="009249C1" w:rsidRPr="00C316F8">
        <w:rPr>
          <w:rFonts w:cstheme="minorHAnsi"/>
          <w:sz w:val="24"/>
          <w:szCs w:val="24"/>
          <w:lang w:val="es-ES"/>
        </w:rPr>
        <w:t>,</w:t>
      </w:r>
      <w:r w:rsidRPr="00C316F8">
        <w:rPr>
          <w:rFonts w:cstheme="minorHAnsi"/>
          <w:sz w:val="24"/>
          <w:szCs w:val="24"/>
          <w:lang w:val="es-ES"/>
        </w:rPr>
        <w:t xml:space="preserve"> y la “edad como nivelador”</w:t>
      </w:r>
      <w:r w:rsidR="009249C1" w:rsidRPr="00C316F8">
        <w:rPr>
          <w:rFonts w:cstheme="minorHAnsi"/>
          <w:sz w:val="24"/>
          <w:szCs w:val="24"/>
          <w:lang w:val="es-ES"/>
        </w:rPr>
        <w:t>,</w:t>
      </w:r>
      <w:r w:rsidRPr="00C316F8">
        <w:rPr>
          <w:rFonts w:cstheme="minorHAnsi"/>
          <w:sz w:val="24"/>
          <w:szCs w:val="24"/>
          <w:lang w:val="es-ES"/>
        </w:rPr>
        <w:t xml:space="preserve"> en donde se vuelve más débil con la vejez. La heterogeneidad no observada podría explicar la disparidad entre la teoría y los datos. Para ello</w:t>
      </w:r>
      <w:r w:rsidR="00707D1E" w:rsidRPr="00C316F8">
        <w:rPr>
          <w:rFonts w:cstheme="minorHAnsi"/>
          <w:sz w:val="24"/>
          <w:szCs w:val="24"/>
          <w:lang w:val="es-ES"/>
        </w:rPr>
        <w:t>,</w:t>
      </w:r>
      <w:r w:rsidRPr="00C316F8">
        <w:rPr>
          <w:rFonts w:cstheme="minorHAnsi"/>
          <w:sz w:val="24"/>
          <w:szCs w:val="24"/>
          <w:lang w:val="es-ES"/>
        </w:rPr>
        <w:t xml:space="preserve"> Zajacova et al., realizó un estudio en donde simuló una cohorte heterogénea frágil con varias trayectorias de efectos específicos sobre la mortalidad encontrando que puede causar una convergencia entre las personas de alto y bajo riesgo de mortalidad correspondiendo a la teoría de la edad como nivelador</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{"citationID":"00QlamEg","properties":{"formattedCitation":"(42)","plainCitation":"(42)","noteIndex":0},"citationItems":[{"id":49,"uris":["http://zotero.org/users/5785509/items/ELHNZAVJ"],"itemData":{"id":49,"type":"article-journal","container-title":"Mathematical Population Studies","DOI":"10.1080/08898480902790528","ISSN":"0889-8480, 1547-724X","issue":"2","journalAbbreviation":"Mathematical Population Studies","language":"en","page":"153-173","source":"DOI.org (Crossref)","title":"Unobserved Heterogeneity Can Confound the Effect of Education on Mortality","URL":"http://www.tandfonline.com/doi/abs/10.1080/08898480902790528","volume":"16","author":[{"family":"Zajacova","given":"Anna"},{"family":"Goldman","given":"Noreen"},{"family":"Rodríguez","given":"Germán"}],"accessed":{"date-parts":[["2022",2,25]]},"issued":{"date-parts":[["2009",4,17]]}}}],"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(42)</w:t>
      </w:r>
      <w:r w:rsidRPr="00C316F8">
        <w:rPr>
          <w:rFonts w:cstheme="minorHAnsi"/>
          <w:sz w:val="24"/>
          <w:szCs w:val="24"/>
          <w:lang w:val="es-ES"/>
        </w:rPr>
        <w:fldChar w:fldCharType="end"/>
      </w:r>
    </w:p>
    <w:p w14:paraId="46E42266" w14:textId="3510357C" w:rsidR="00927889" w:rsidRPr="00C316F8" w:rsidRDefault="00927889" w:rsidP="003B711F">
      <w:pPr>
        <w:jc w:val="both"/>
        <w:rPr>
          <w:rFonts w:cstheme="minorHAnsi"/>
          <w:sz w:val="24"/>
          <w:szCs w:val="24"/>
          <w:lang w:val="es-CO"/>
        </w:rPr>
      </w:pPr>
      <w:r w:rsidRPr="00C316F8">
        <w:rPr>
          <w:lang w:val="es-CO"/>
        </w:rPr>
        <w:t>En Colombia, el rezago educativo constituye una de las dimensiones del CMPI más fuertemente asociadas con la mortalidad por COVID-19, especialmente en municipios con alta pobreza multidimensional.</w:t>
      </w:r>
    </w:p>
    <w:p w14:paraId="153491FC" w14:textId="77777777" w:rsidR="00AD5422" w:rsidRPr="00C316F8" w:rsidRDefault="00AD5422" w:rsidP="003B711F">
      <w:pPr>
        <w:jc w:val="both"/>
        <w:rPr>
          <w:rFonts w:cstheme="minorHAnsi"/>
          <w:sz w:val="24"/>
          <w:szCs w:val="24"/>
          <w:lang w:val="es-ES"/>
        </w:rPr>
      </w:pPr>
    </w:p>
    <w:p w14:paraId="4A3F05C0" w14:textId="77777777" w:rsidR="00F51501" w:rsidRPr="00C316F8" w:rsidRDefault="00E6796D" w:rsidP="00E6796D">
      <w:pPr>
        <w:pStyle w:val="Ttulo2"/>
      </w:pPr>
      <w:bookmarkStart w:id="18" w:name="_Toc229834635"/>
      <w:r w:rsidRPr="00C316F8">
        <w:t>3.2.3</w:t>
      </w:r>
      <w:r w:rsidRPr="00C316F8">
        <w:tab/>
        <w:t>Ingreso</w:t>
      </w:r>
      <w:bookmarkEnd w:id="18"/>
    </w:p>
    <w:p w14:paraId="3D845785" w14:textId="77777777" w:rsidR="00F51501" w:rsidRPr="00C316F8" w:rsidRDefault="00F51501" w:rsidP="00F51501">
      <w:pPr>
        <w:rPr>
          <w:lang w:val="es-CO"/>
        </w:rPr>
      </w:pPr>
    </w:p>
    <w:p w14:paraId="3180CD23" w14:textId="01662DF0" w:rsidR="006B01A1" w:rsidRPr="00C316F8" w:rsidRDefault="006B01A1" w:rsidP="006B01A1">
      <w:pPr>
        <w:jc w:val="both"/>
        <w:rPr>
          <w:lang w:val="es-CO"/>
        </w:rPr>
      </w:pPr>
      <w:r w:rsidRPr="00C316F8">
        <w:rPr>
          <w:lang w:val="es-CO"/>
        </w:rPr>
        <w:t xml:space="preserve">Es fundamental distinguir dos conceptos que con frecuencia se utilizan de manera intercambiable pero que tienen mecanismos e implicaciones diferentes sobre la mortalidad. El nivel de ingreso se refiere a la cantidad absoluta de recursos económicos disponibles para un individuo o hogar, y su efecto sobre la salud opera principalmente a través del acceso a bienes y servicios esenciales —alimentación, vivienda, atención médica—. La desigualdad en el ingreso, en cambio, se refiere a la distribución relativa de ese ingreso entre los miembros de una sociedad, y su efecto sobre la salud opera a través de mecanismos psicosociales —estrés crónico, erosión del capital social, percepción de estatus— y estructurales —subinversión en bienes públicos en sociedades muy desiguales—. La desigualdad no es perjudicial per se: toda sociedad presenta algún grado de dispersión en el ingreso. Se vuelve dañina para la salud cuando supera umbrales que erosionan la cohesión social y la provisión de bienes públicos, como sugiere la evidencia comparada para coeficientes de Gini </w:t>
      </w:r>
      <w:r w:rsidRPr="00C316F8">
        <w:rPr>
          <w:lang w:val="es-CO"/>
        </w:rPr>
        <w:lastRenderedPageBreak/>
        <w:t>superiores a 0.40 —umbral que Colombia supera consistentemente—. En esta sección se examinan ambas dimensiones, reconociendo que en países como Colombia, con alta desigualdad estructural y bajos niveles de ingreso en amplios segmentos de la población, los dos mecanismos operan simultáneamente y se refuerzan mutuamente.</w:t>
      </w:r>
    </w:p>
    <w:p w14:paraId="21ACE5D5" w14:textId="17BE674E" w:rsidR="00AD5422" w:rsidRPr="00C316F8" w:rsidRDefault="00AD5422" w:rsidP="003B711F">
      <w:pPr>
        <w:jc w:val="both"/>
        <w:rPr>
          <w:rFonts w:cstheme="minorHAnsi"/>
          <w:sz w:val="24"/>
          <w:szCs w:val="24"/>
          <w:lang w:val="es-ES"/>
        </w:rPr>
      </w:pPr>
      <w:r w:rsidRPr="00C316F8">
        <w:rPr>
          <w:rFonts w:cstheme="minorHAnsi"/>
          <w:sz w:val="24"/>
          <w:szCs w:val="24"/>
          <w:lang w:val="es-ES"/>
        </w:rPr>
        <w:t>El efecto en el desarrollo económico y la distribución del ingreso sobre la tasa de mortalidad y la esperanza de vida ha sido de especial interés. Rodger et al., analizó la distribución del ingreso y la mortalidad encontrando que la distribución del ingreso está fuertemente relacionada con la mortalidad y adicionalmente sugiere que en un país desigual la esperanza de vida puede ser entre cinco y diez años menor que en un país igualitario, encontró adicionalmente que el producto nacional bruto per cápita es importante para predecir la mortalidad en los países</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{"citationID":"sKzzFWmw","properties":{"formattedCitation":"(43)","plainCitation":"(43)","noteIndex":0},"citationItems":[{"id":43,"uris":["http://zotero.org/users/5785509/items/3YC3IR8E"],"itemData":{"id":43,"type":"article-journal","container-title":"Population Studies","DOI":"10.1080/00324728.1979.10410449","ISSN":"0032-4728, 1477-4747","issue":"2","journalAbbreviation":"Population Studies","language":"en","page":"343-351","source":"DOI.org (Crossref)","title":"Income and inequality as determinants of mortality: An international cross-section analysis","title-short":"Income and inequality as determinants of mortality","URL":"http://www.tandfonline.com/doi/abs/10.1080/00324728.1979.10410449","volume":"33","author":[{"family":"Rodgers","given":"G. B."}],"accessed":{"date-parts":[["2022",2,25]]},"issued":{"date-parts":[["1979",7]]}}}],"schema":"https://github.com/citation-style-language/schema/raw/master/csl-citation.json"}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(43)</w:t>
      </w:r>
      <w:r w:rsidRPr="00C316F8">
        <w:rPr>
          <w:rFonts w:cstheme="minorHAnsi"/>
          <w:sz w:val="24"/>
          <w:szCs w:val="24"/>
          <w:lang w:val="es-ES"/>
        </w:rPr>
        <w:fldChar w:fldCharType="end"/>
      </w:r>
    </w:p>
    <w:p w14:paraId="00F9DF72" w14:textId="2C1A24D5" w:rsidR="00AD5422" w:rsidRPr="00C316F8" w:rsidRDefault="00AD5422" w:rsidP="003B711F">
      <w:pPr>
        <w:jc w:val="both"/>
        <w:rPr>
          <w:rFonts w:cstheme="minorHAnsi"/>
          <w:sz w:val="24"/>
          <w:szCs w:val="24"/>
          <w:lang w:val="es-ES"/>
        </w:rPr>
      </w:pPr>
      <w:r w:rsidRPr="00C316F8">
        <w:rPr>
          <w:rFonts w:cstheme="minorHAnsi"/>
          <w:sz w:val="24"/>
          <w:szCs w:val="24"/>
          <w:lang w:val="es-ES"/>
        </w:rPr>
        <w:t xml:space="preserve">Se han encontrado diferentes relaciones entre las medidas de distribución del ingreso como el coeficiente Gini, </w:t>
      </w:r>
      <w:r w:rsidR="00D54163" w:rsidRPr="00C316F8">
        <w:rPr>
          <w:rFonts w:cstheme="minorHAnsi"/>
          <w:sz w:val="24"/>
          <w:szCs w:val="24"/>
          <w:lang w:val="es-ES"/>
        </w:rPr>
        <w:t xml:space="preserve">las </w:t>
      </w:r>
      <w:r w:rsidRPr="00C316F8">
        <w:rPr>
          <w:rFonts w:cstheme="minorHAnsi"/>
          <w:sz w:val="24"/>
          <w:szCs w:val="24"/>
          <w:lang w:val="es-ES"/>
        </w:rPr>
        <w:t>tasas de pobreza y el porcentaje del ingreso nacional recibido</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{"citationID":"hLkn3gub","properties":{"formattedCitation":"(44)","plainCitation":"(44)","noteIndex":0},"citationItems":[{"id":42,"uris":["http://zotero.org/users/5785509/items/9T6V3XTM"],"itemData":{"id":42,"type":"article-journal","container-title":"Annals of Epidemiology","DOI":"10.1016/1047-2797(95)00090-9","ISSN":"10472797","issue":"1","journalAbbreviation":"Annals of Epidemiology","language":"en","page":"12-20","source":"DOI.org (Crossref)","title":"The shape of the relationship between income and mortality in the United States","URL":"https://linkinghub.elsevier.com/retrieve/pii/1047279795000909","volume":"6","author":[{"family":"Backlund","given":"Eric"},{"family":"Sorlie","given":"Paul D."},{"family":"Johnson","given":"Norman J."}],"accessed":{"date-parts":[["2022",2,25]]},"issued":{"date-parts":[["1996",1]]}}}],"schema":"https://github.com/citation-style-language/schema/raw/master/csl-citation.json"}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(44)</w:t>
      </w:r>
      <w:r w:rsidRPr="00C316F8">
        <w:rPr>
          <w:rFonts w:cstheme="minorHAnsi"/>
          <w:sz w:val="24"/>
          <w:szCs w:val="24"/>
          <w:lang w:val="es-ES"/>
        </w:rPr>
        <w:fldChar w:fldCharType="end"/>
      </w:r>
    </w:p>
    <w:p w14:paraId="0CFDBB56" w14:textId="4E3008DE" w:rsidR="00AD5422" w:rsidRPr="00C316F8" w:rsidRDefault="00B71593" w:rsidP="003B711F">
      <w:pPr>
        <w:jc w:val="both"/>
        <w:rPr>
          <w:rFonts w:cstheme="minorHAnsi"/>
          <w:sz w:val="24"/>
          <w:szCs w:val="24"/>
          <w:lang w:val="es-ES"/>
        </w:rPr>
      </w:pPr>
      <w:r w:rsidRPr="00C316F8">
        <w:rPr>
          <w:rFonts w:cstheme="minorHAnsi"/>
          <w:sz w:val="24"/>
          <w:szCs w:val="24"/>
          <w:lang w:val="es-ES"/>
        </w:rPr>
        <w:t>Backlund et al. realizaron un estudio para analizar el gradiente inverso entre los ingresos y la mortalidad, evidenciando que dicha relación es menos pronunciada entre los niveles de ingreso altos en la población trabajadora de 25 a 64 años, así como en los mayores de 65 años, tanto en hombres como en mujeres. Asimismo, se observó que el gradiente es más marcado entre las mujeres trabajadoras y en los grupos en situación de pobreza extrema, en comparación con aquellos con ingresos moderados o bajos.</w:t>
      </w:r>
      <w:r w:rsidR="00AD5422" w:rsidRPr="00C316F8">
        <w:rPr>
          <w:rFonts w:cstheme="minorHAnsi"/>
          <w:sz w:val="24"/>
          <w:szCs w:val="24"/>
          <w:lang w:val="es-ES"/>
        </w:rPr>
        <w:t xml:space="preserve"> </w:t>
      </w:r>
      <w:r w:rsidR="00AD5422"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{"citationID":"P55aHWHf","properties":{"formattedCitation":"(44)","plainCitation":"(44)","noteIndex":0},"citationItems":[{"id":42,"uris":["http://zotero.org/users/5785509/items/9T6V3XTM"],"itemData":{"id":42,"type":"article-journal","container-title":"Annals of Epidemiology","DOI":"10.1016/1047-2797(95)00090-9","ISSN":"10472797","issue":"1","journalAbbreviation":"Annals of Epidemiology","language":"en","page":"12-20","source":"DOI.org (Crossref)","title":"The shape of the relationship between income and mortality in the United States","URL":"https://linkinghub.elsevier.com/retrieve/pii/1047279795000909","volume":"6","author":[{"family":"Backlund","given":"Eric"},{"family":"Sorlie","given":"Paul D."},{"family":"Johnson","given":"Norman J."}],"accessed":{"date-parts":[["2022",2,25]]},"issued":{"date-parts":[["1996",1]]}}}],"schema":"https://github.com/citation-style-language/schema/raw/master/csl-citation.json"} </w:instrText>
      </w:r>
      <w:r w:rsidR="00AD5422" w:rsidRPr="00C316F8">
        <w:rPr>
          <w:rFonts w:cstheme="minorHAnsi"/>
          <w:sz w:val="24"/>
          <w:szCs w:val="24"/>
          <w:lang w:val="es-ES"/>
        </w:rPr>
        <w:fldChar w:fldCharType="separate"/>
      </w:r>
      <w:r w:rsidR="00CD2033" w:rsidRPr="00C316F8">
        <w:rPr>
          <w:rFonts w:ascii="Calibri" w:hAnsi="Calibri" w:cs="Calibri"/>
          <w:sz w:val="24"/>
          <w:lang w:val="es-CO"/>
        </w:rPr>
        <w:t>(44)</w:t>
      </w:r>
      <w:r w:rsidR="00AD5422" w:rsidRPr="00C316F8">
        <w:rPr>
          <w:rFonts w:cstheme="minorHAnsi"/>
          <w:sz w:val="24"/>
          <w:szCs w:val="24"/>
          <w:lang w:val="es-ES"/>
        </w:rPr>
        <w:fldChar w:fldCharType="end"/>
      </w:r>
    </w:p>
    <w:p w14:paraId="7D087814" w14:textId="01AE6BFA" w:rsidR="00AD5422" w:rsidRPr="00C316F8" w:rsidRDefault="00AD5422" w:rsidP="003B711F">
      <w:pPr>
        <w:jc w:val="both"/>
        <w:rPr>
          <w:rFonts w:cstheme="minorHAnsi"/>
          <w:sz w:val="24"/>
          <w:szCs w:val="24"/>
          <w:lang w:val="es-ES"/>
        </w:rPr>
      </w:pPr>
      <w:r w:rsidRPr="00C316F8">
        <w:rPr>
          <w:rFonts w:cstheme="minorHAnsi"/>
          <w:sz w:val="24"/>
          <w:szCs w:val="24"/>
          <w:lang w:val="es-ES"/>
        </w:rPr>
        <w:t>En el estudio de Kim et al., realizado en Corea en donde investigó la inequidad entre la salud relacionado con el ingreso a nivel subnacional asociado a factores sociales entre personas de edad media y ancianos en 25 distritos de Seúl se encontraron gradientes de mortalidad asociados a ingresos y la variación en mortalidad fue mayor en los de menor ingreso</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{"citationID":"j4eaFyOB","properties":{"formattedCitation":"(45)","plainCitation":"(45)","noteIndex":0},"citationItems":[{"id":41,"uris":["http://zotero.org/users/5785509/items/V569ANDT"],"itemData":{"id":41,"type":"article-journal","abstract":"This study investigated income-related health inequality at sub-national level, focusing on mortality inequality among middle-aged and older adults (MOAs). Specifically, we examined income-related mortality inequality and its social factors among MOAs across 25 districts in Seoul using administrative big data from the National Health Insurance Service (NHIS). We obtained access to the NHIS’s full-population micro-data on both incomes and demographic variables for the entire residents of Seoul. Slope Index of Inequality (SII) and Relative Index of Inequality (RII) were calculated. The effects of social attributes of districts on SIIs and RIIs were examined through ordinary least squares and spatial regressions. There were clear income-related mortality gradients. Cross-district variance of mortality rates was greater among the lowest income group. SIIs were smaller in wealthier districts. Weak spatial correlation was found in SIIs among men. Lower RIIs were linked to lower Gini coefficients of income for both genders. SIIs (men) were associated with higher proportions of special occupational pensioners and working population. Lower SIIs and RIIs (women) were associated with higher proportions of female household heads. The results suggest that increasing economic activities, targeting households with female heads, reforming public pensions, and reducing income inequality among MOAs can be good policy directions.","container-title":"International Journal of Environmental Research and Public Health","DOI":"10.3390/ijerph19010383","ISSN":"1660-4601","issue":"1","journalAbbreviation":"IJERPH","language":"en","page":"383","source":"DOI.org (Crossref)","title":"Income-Related Mortality Inequalities and Its Social Factors among Middle-Aged and Older Adults at the District Level in Aging Seoul: An Ecological Study Using Administrative Big Data","title-short":"Income-Related Mortality Inequalities and Its Social Factors among Middle-Aged and Older Adults at the District Level in Aging Seoul","URL":"https://www.mdpi.com/1660-4601/19/1/383","volume":"19","author":[{"family":"Kim","given":"Minhye"},{"family":"You","given":"Suzin"},{"family":"You","given":"Jong-sung"},{"family":"Kim","given":"Seung-Yun"},{"family":"Park","given":"Jong Heon"}],"accessed":{"date-parts":[["2022",2,25]]},"issued":{"date-parts":[["2021",12,30]]}}}],"schema":"https://github.com/citation-style-language/schema/raw/master/csl-citation.json"}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(45)</w:t>
      </w:r>
      <w:r w:rsidRPr="00C316F8">
        <w:rPr>
          <w:rFonts w:cstheme="minorHAnsi"/>
          <w:sz w:val="24"/>
          <w:szCs w:val="24"/>
          <w:lang w:val="es-ES"/>
        </w:rPr>
        <w:fldChar w:fldCharType="end"/>
      </w:r>
    </w:p>
    <w:p w14:paraId="48F3988E" w14:textId="7DF3C718" w:rsidR="00AD5422" w:rsidRPr="00C316F8" w:rsidRDefault="00AD5422" w:rsidP="003B711F">
      <w:pPr>
        <w:jc w:val="both"/>
        <w:rPr>
          <w:rFonts w:cstheme="minorHAnsi"/>
          <w:sz w:val="24"/>
          <w:szCs w:val="24"/>
          <w:lang w:val="es-ES"/>
        </w:rPr>
      </w:pPr>
      <w:r w:rsidRPr="00C316F8">
        <w:rPr>
          <w:rFonts w:cstheme="minorHAnsi"/>
          <w:sz w:val="24"/>
          <w:szCs w:val="24"/>
          <w:lang w:val="es-ES"/>
        </w:rPr>
        <w:t>El ingreso varía en el transcurso de la vida y tomado en un determinado periodo de tiempo puede ser un pobre reflejo de la situación, es por esto que, el uso del promedio en el momento en el que ocurre la muerte logra disminuir la variabilidad, se debe tratar de evaluar el ingreso familiar, la metodología no tiene en cuenta los ingresos transitorios y solo son evaluados los que tienen ingresos fijos por medio de contrataciones estables</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{"citationID":"Woifb4zo","properties":{"formattedCitation":"(31)","plainCitation":"(31)","noteIndex":0},"citationItems":[{"id":55,"uris":["http://zotero.org/users/5785509/items/H2FLXKWA"],"itemData":{"id":55,"type":"article-journal","abstract":"This review focuses on the widening disparities in death rates by socioeconomic class. In recent years, there has been a major increase in the availability of data linking mortality risk and measures of socioeconomic status. The result has been a virtual explosion of new empirical research showing not only the existence of large inequities in the risk of death between those at the top and those at the bottom of the socioeconomic distribution, but also that the gaps have been growing. This assessment of the empirical research finds a consistent pattern of growing disparities within the United States. However, this widening gap in death rates does appear to be a uniquely American phenomenon, as the disparities by socioeconomic class appear to be stable or even declining in Europe and Canada.","container-title":"Annual Review of Public Health","DOI":"10.1146/annurev-publhealth-040617-014615","ISSN":"0163-7525, 1545-2093","issue":"1","journalAbbreviation":"Annu. Rev. Public Health","language":"en","page":"237-251","source":"DOI.org (Crossref)","title":"Increasing Disparities in Mortality by Socioeconomic Status","URL":"https://www.annualreviews.org/doi/10.1146/annurev-publhealth-040617-014615","volume":"39","author":[{"family":"Bosworth","given":"Barry"}],"accessed":{"date-parts":[["2022",2,21]]},"issued":{"date-parts":[["2018",4,1]]}}}],"schema":"https://github.com/citation-style-language/schema/raw/master/csl-citation.json"} </w:instrText>
      </w:r>
      <w:r w:rsidRPr="00C316F8">
        <w:rPr>
          <w:rFonts w:cstheme="minorHAnsi"/>
          <w:sz w:val="24"/>
          <w:szCs w:val="24"/>
          <w:lang w:val="es-ES"/>
        </w:rPr>
        <w:fldChar w:fldCharType="separate"/>
      </w:r>
      <w:r w:rsidR="00707240" w:rsidRPr="00C316F8">
        <w:rPr>
          <w:rFonts w:cstheme="minorHAnsi"/>
          <w:sz w:val="24"/>
          <w:szCs w:val="24"/>
          <w:lang w:val="es-CO"/>
        </w:rPr>
        <w:t>(31)</w:t>
      </w:r>
      <w:r w:rsidRPr="00C316F8">
        <w:rPr>
          <w:rFonts w:cstheme="minorHAnsi"/>
          <w:sz w:val="24"/>
          <w:szCs w:val="24"/>
          <w:lang w:val="es-ES"/>
        </w:rPr>
        <w:fldChar w:fldCharType="end"/>
      </w:r>
    </w:p>
    <w:p w14:paraId="4430566E" w14:textId="7D431053" w:rsidR="00AD5422" w:rsidRPr="00C316F8" w:rsidRDefault="00AD5422" w:rsidP="003B711F">
      <w:pPr>
        <w:jc w:val="both"/>
        <w:rPr>
          <w:rFonts w:cstheme="minorHAnsi"/>
          <w:sz w:val="24"/>
          <w:szCs w:val="24"/>
          <w:lang w:val="es-ES"/>
        </w:rPr>
      </w:pPr>
      <w:r w:rsidRPr="00C316F8">
        <w:rPr>
          <w:rFonts w:cstheme="minorHAnsi"/>
          <w:sz w:val="24"/>
          <w:szCs w:val="24"/>
          <w:lang w:val="es-ES"/>
        </w:rPr>
        <w:t>Los ingresos como variable socioeconómica presentan mayor variabilidad en comparación con el nivel educativo</w:t>
      </w:r>
      <w:r w:rsidR="00E10875" w:rsidRPr="00C316F8">
        <w:rPr>
          <w:rFonts w:cstheme="minorHAnsi"/>
          <w:sz w:val="24"/>
          <w:szCs w:val="24"/>
          <w:lang w:val="es-ES"/>
        </w:rPr>
        <w:t>,</w:t>
      </w:r>
      <w:r w:rsidRPr="00C316F8">
        <w:rPr>
          <w:rFonts w:cstheme="minorHAnsi"/>
          <w:sz w:val="24"/>
          <w:szCs w:val="24"/>
          <w:lang w:val="es-ES"/>
        </w:rPr>
        <w:t xml:space="preserve"> sin embargo, la medición en los extremos de la vida se ve influenciada por la causalidad reversa que influye en el proceso de salud</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{"citationID":"2hPhHZcv","properties":{"formattedCitation":"(31)","plainCitation":"(31)","noteIndex":0},"citationItems":[{"id":55,"uris":["http://zotero.org/users/5785509/items/H2FLXKWA"],"itemData":{"id":55,"type":"article-journal","abstract":"This review focuses on the widening disparities in death rates by socioeconomic class. In recent years, there has been a major increase in the availability of data linking mortality risk and measures of socioeconomic status. The result has been a virtual explosion of new empirical research showing not only the existence of large inequities in the risk of death between those at the top and those at the bottom of the socioeconomic distribution, but also that the gaps have been growing. This assessment of the empirical research finds a consistent pattern of growing disparities within the United States. However, this widening gap in death rates does appear to be a uniquely American phenomenon, as the disparities by socioeconomic class appear to be stable or even declining in Europe and Canada.","container-title":"Annual Review of Public Health","DOI":"10.1146/annurev-publhealth-040617-014615","ISSN":"0163-7525, 1545-2093","issue":"1","journalAbbreviation":"Annu. Rev. Public Health","language":"en","page":"237-251","source":"DOI.org (Crossref)","title":"Increasing Disparities in Mortality by Socioeconomic Status","URL":"https://www.annualreviews.org/doi/10.1146/annurev-publhealth-040617-014615","volume":"39","author":[{"family":"Bosworth","given":"Barry"}],"accessed":{"date-parts":[["2022",2,21]]},"issued":{"date-parts":[["2018",4,1]]}}}],"schema":"https://github.com/citation-style-language/schema/raw/master/csl-citation.json"} </w:instrText>
      </w:r>
      <w:r w:rsidRPr="00C316F8">
        <w:rPr>
          <w:rFonts w:cstheme="minorHAnsi"/>
          <w:sz w:val="24"/>
          <w:szCs w:val="24"/>
          <w:lang w:val="es-ES"/>
        </w:rPr>
        <w:fldChar w:fldCharType="separate"/>
      </w:r>
      <w:r w:rsidR="00707240" w:rsidRPr="00C316F8">
        <w:rPr>
          <w:rFonts w:cstheme="minorHAnsi"/>
          <w:sz w:val="24"/>
          <w:szCs w:val="24"/>
          <w:lang w:val="es-CO"/>
        </w:rPr>
        <w:t>(31)</w:t>
      </w:r>
      <w:r w:rsidRPr="00C316F8">
        <w:rPr>
          <w:rFonts w:cstheme="minorHAnsi"/>
          <w:sz w:val="24"/>
          <w:szCs w:val="24"/>
          <w:lang w:val="es-ES"/>
        </w:rPr>
        <w:fldChar w:fldCharType="end"/>
      </w:r>
    </w:p>
    <w:p w14:paraId="0D708172" w14:textId="0BCFDA12" w:rsidR="00AD5422" w:rsidRPr="00C316F8" w:rsidRDefault="00AD5422" w:rsidP="003B711F">
      <w:pPr>
        <w:jc w:val="both"/>
        <w:rPr>
          <w:rFonts w:cstheme="minorHAnsi"/>
          <w:sz w:val="24"/>
          <w:szCs w:val="24"/>
          <w:lang w:val="es-ES"/>
        </w:rPr>
      </w:pPr>
      <w:r w:rsidRPr="00C316F8">
        <w:rPr>
          <w:rFonts w:cstheme="minorHAnsi"/>
          <w:sz w:val="24"/>
          <w:szCs w:val="24"/>
          <w:lang w:val="es-ES"/>
        </w:rPr>
        <w:t>En el estudio de Kaplan et al</w:t>
      </w:r>
      <w:r w:rsidR="00E10875" w:rsidRPr="00C316F8">
        <w:rPr>
          <w:rFonts w:cstheme="minorHAnsi"/>
          <w:sz w:val="24"/>
          <w:szCs w:val="24"/>
          <w:lang w:val="es-ES"/>
        </w:rPr>
        <w:t>.</w:t>
      </w:r>
      <w:r w:rsidRPr="00C316F8">
        <w:rPr>
          <w:rFonts w:cstheme="minorHAnsi"/>
          <w:sz w:val="24"/>
          <w:szCs w:val="24"/>
          <w:lang w:val="es-ES"/>
        </w:rPr>
        <w:t>, realizado en Estados Unidos</w:t>
      </w:r>
      <w:r w:rsidR="00E10875" w:rsidRPr="00C316F8">
        <w:rPr>
          <w:rFonts w:cstheme="minorHAnsi"/>
          <w:sz w:val="24"/>
          <w:szCs w:val="24"/>
          <w:lang w:val="es-ES"/>
        </w:rPr>
        <w:t>,</w:t>
      </w:r>
      <w:r w:rsidRPr="00C316F8">
        <w:rPr>
          <w:rFonts w:cstheme="minorHAnsi"/>
          <w:sz w:val="24"/>
          <w:szCs w:val="24"/>
          <w:lang w:val="es-ES"/>
        </w:rPr>
        <w:t xml:space="preserve"> la inequidad en el ingreso varía entre Estados y diferentes condiciones de salud</w:t>
      </w:r>
      <w:r w:rsidR="00E10875" w:rsidRPr="00C316F8">
        <w:rPr>
          <w:rFonts w:cstheme="minorHAnsi"/>
          <w:sz w:val="24"/>
          <w:szCs w:val="24"/>
          <w:lang w:val="es-ES"/>
        </w:rPr>
        <w:t>,</w:t>
      </w:r>
      <w:r w:rsidRPr="00C316F8">
        <w:rPr>
          <w:rFonts w:cstheme="minorHAnsi"/>
          <w:sz w:val="24"/>
          <w:szCs w:val="24"/>
          <w:lang w:val="es-ES"/>
        </w:rPr>
        <w:t xml:space="preserve"> las cuales se asocian a un aumento en la mortalidad</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BS2sW0me","properties":{"formattedCitation":"(46)","plainCitation":"(46)","noteIndex":0},"citationItems":[{"id":39,"uris":["http://zotero.org/users/5785509/items/S4Y3H4AE"],"itemData":{"id":39,"type":"article-journal","container-title":"BMJ","DOI":"10.1136/bmj.312.7037.999","ISSN":"0959-8138, 1468-5833","issue":"7037","journalAbbreviation":"BMJ","language":"en","page":"999-1003","source":"DOI.org (Crossref)","title":"Inequality in income and mortality in the United States: analysis of mortality and potential pathways","title-short":"Inequality in income and mortality in the United States","URL":"https://www.bmj.com/lookup/doi/10.1136/bmj.312.7037.999","volume":"312","author":[{"family":"Kaplan","given":"G. A"},{"family":"Pamuk","given":"E. R"},{"family":"Lynch","given":"J. W"},{"family":"Cohen","given":"R. D"},{"family":"Balfour","given":"J. L"}],"accessed":{"date-parts":[["2022",2,26]]},"issued":{"date-parts":[["1996",4,20]]}}}],"schema":"https://github.com/citation-style-language/schema/raw/master/csl-citation.json"}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(46)</w:t>
      </w:r>
      <w:r w:rsidRPr="00C316F8">
        <w:rPr>
          <w:rFonts w:cstheme="minorHAnsi"/>
          <w:sz w:val="24"/>
          <w:szCs w:val="24"/>
          <w:lang w:val="es-ES"/>
        </w:rPr>
        <w:fldChar w:fldCharType="end"/>
      </w:r>
    </w:p>
    <w:p w14:paraId="6CB6B032" w14:textId="08301EC8" w:rsidR="00927889" w:rsidRPr="00C316F8" w:rsidRDefault="00927889" w:rsidP="003B711F">
      <w:pPr>
        <w:jc w:val="both"/>
        <w:rPr>
          <w:rFonts w:cstheme="minorHAnsi"/>
          <w:sz w:val="24"/>
          <w:szCs w:val="24"/>
          <w:lang w:val="es-CO"/>
        </w:rPr>
      </w:pPr>
      <w:r w:rsidRPr="00C316F8">
        <w:rPr>
          <w:lang w:val="es-CO"/>
        </w:rPr>
        <w:t xml:space="preserve">Estas relaciones entre ingreso y mortalidad cobran especial relevancia en Colombia, donde la distribución territorial del ingreso es profundamente desigual y donde el coeficiente de Gini ha </w:t>
      </w:r>
      <w:r w:rsidRPr="00C316F8">
        <w:rPr>
          <w:lang w:val="es-CO"/>
        </w:rPr>
        <w:lastRenderedPageBreak/>
        <w:t>persistido entre los más altos de América Latina, configurando un escenario estructural que determinó diferencialmente los desenlaces durante la pandemia.</w:t>
      </w:r>
    </w:p>
    <w:p w14:paraId="3022B0D5" w14:textId="77777777" w:rsidR="00AD5422" w:rsidRPr="00C316F8" w:rsidRDefault="00AD5422" w:rsidP="003B711F">
      <w:pPr>
        <w:jc w:val="both"/>
        <w:rPr>
          <w:rFonts w:cstheme="minorHAnsi"/>
          <w:sz w:val="24"/>
          <w:szCs w:val="24"/>
          <w:lang w:val="es-ES"/>
        </w:rPr>
      </w:pPr>
    </w:p>
    <w:p w14:paraId="3DE69A9E" w14:textId="084BE3A1" w:rsidR="00AD5422" w:rsidRPr="00C316F8" w:rsidRDefault="002F5ED8" w:rsidP="002F5ED8">
      <w:pPr>
        <w:pStyle w:val="Ttulo2"/>
      </w:pPr>
      <w:bookmarkStart w:id="19" w:name="_Toc229834636"/>
      <w:r w:rsidRPr="00C316F8">
        <w:t>3.2.4</w:t>
      </w:r>
      <w:r w:rsidRPr="00C316F8">
        <w:tab/>
        <w:t>Ocupación</w:t>
      </w:r>
      <w:bookmarkEnd w:id="19"/>
    </w:p>
    <w:p w14:paraId="5A039FBE" w14:textId="77777777" w:rsidR="002F5ED8" w:rsidRPr="00C316F8" w:rsidRDefault="002F5ED8" w:rsidP="002F5ED8">
      <w:pPr>
        <w:rPr>
          <w:lang w:val="es-CO"/>
        </w:rPr>
      </w:pPr>
    </w:p>
    <w:p w14:paraId="52C684ED" w14:textId="47D0C4A7" w:rsidR="00AD5422" w:rsidRPr="00C316F8" w:rsidRDefault="00AD5422" w:rsidP="003B711F">
      <w:pPr>
        <w:jc w:val="both"/>
        <w:rPr>
          <w:rFonts w:cstheme="minorHAnsi"/>
          <w:sz w:val="24"/>
          <w:szCs w:val="24"/>
          <w:lang w:val="es-ES"/>
        </w:rPr>
      </w:pPr>
      <w:r w:rsidRPr="00C316F8">
        <w:rPr>
          <w:rFonts w:cstheme="minorHAnsi"/>
          <w:sz w:val="24"/>
          <w:szCs w:val="24"/>
          <w:lang w:val="es-ES"/>
        </w:rPr>
        <w:t>La ocupación presenta dificultades para evaluarla en el contexto socioeconómico, carece de una escala a nivel ordinal que permita clasificarla, al igual que los ingresos</w:t>
      </w:r>
      <w:r w:rsidR="00FE60E5" w:rsidRPr="00C316F8">
        <w:rPr>
          <w:rFonts w:cstheme="minorHAnsi"/>
          <w:sz w:val="24"/>
          <w:szCs w:val="24"/>
          <w:lang w:val="es-ES"/>
        </w:rPr>
        <w:t>;</w:t>
      </w:r>
      <w:r w:rsidRPr="00C316F8">
        <w:rPr>
          <w:rFonts w:cstheme="minorHAnsi"/>
          <w:sz w:val="24"/>
          <w:szCs w:val="24"/>
          <w:lang w:val="es-ES"/>
        </w:rPr>
        <w:t xml:space="preserve"> las mediciones excluyen a las personas que no se encuentran en la fuerza laboral. El sistema clasifica a la persona del grupo familiar con el ingreso más alto y no se </w:t>
      </w:r>
      <w:r w:rsidR="00E10875" w:rsidRPr="00C316F8">
        <w:rPr>
          <w:rFonts w:cstheme="minorHAnsi"/>
          <w:sz w:val="24"/>
          <w:szCs w:val="24"/>
          <w:lang w:val="es-ES"/>
        </w:rPr>
        <w:t>tienen</w:t>
      </w:r>
      <w:r w:rsidRPr="00C316F8">
        <w:rPr>
          <w:rFonts w:cstheme="minorHAnsi"/>
          <w:sz w:val="24"/>
          <w:szCs w:val="24"/>
          <w:lang w:val="es-ES"/>
        </w:rPr>
        <w:t xml:space="preserve"> en cuenta los cambios de empleo</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{"citationID":"91Qu8cyA","properties":{"formattedCitation":"(31)","plainCitation":"(31)","noteIndex":0},"citationItems":[{"id":55,"uris":["http://zotero.org/users/5785509/items/H2FLXKWA"],"itemData":{"id":55,"type":"article-journal","abstract":"This review focuses on the widening disparities in death rates by socioeconomic class. In recent years, there has been a major increase in the availability of data linking mortality risk and measures of socioeconomic status. The result has been a virtual explosion of new empirical research showing not only the existence of large inequities in the risk of death between those at the top and those at the bottom of the socioeconomic distribution, but also that the gaps have been growing. This assessment of the empirical research finds a consistent pattern of growing disparities within the United States. However, this widening gap in death rates does appear to be a uniquely American phenomenon, as the disparities by socioeconomic class appear to be stable or even declining in Europe and Canada.","container-title":"Annual Review of Public Health","DOI":"10.1146/annurev-publhealth-040617-014615","ISSN":"0163-7525, 1545-2093","issue":"1","journalAbbreviation":"Annu. Rev. Public Health","language":"en","page":"237-251","source":"DOI.org (Crossref)","title":"Increasing Disparities in Mortality by Socioeconomic Status","URL":"https://www.annualreviews.org/doi/10.1146/annurev-publhealth-040617-014615","volume":"39","author":[{"family":"Bosworth","given":"Barry"}],"accessed":{"date-parts":[["2022",2,21]]},"issued":{"date-parts":[["2018",4,1]]}}}],"schema":"https://github.com/citation-style-language/schema/raw/master/csl-citation.json"} </w:instrText>
      </w:r>
      <w:r w:rsidRPr="00C316F8">
        <w:rPr>
          <w:rFonts w:cstheme="minorHAnsi"/>
          <w:sz w:val="24"/>
          <w:szCs w:val="24"/>
          <w:lang w:val="es-ES"/>
        </w:rPr>
        <w:fldChar w:fldCharType="separate"/>
      </w:r>
      <w:r w:rsidR="00707240" w:rsidRPr="00C316F8">
        <w:rPr>
          <w:rFonts w:cstheme="minorHAnsi"/>
          <w:sz w:val="24"/>
          <w:szCs w:val="24"/>
          <w:lang w:val="es-CO"/>
        </w:rPr>
        <w:t>(31)</w:t>
      </w:r>
      <w:r w:rsidRPr="00C316F8">
        <w:rPr>
          <w:rFonts w:cstheme="minorHAnsi"/>
          <w:sz w:val="24"/>
          <w:szCs w:val="24"/>
          <w:lang w:val="es-ES"/>
        </w:rPr>
        <w:fldChar w:fldCharType="end"/>
      </w:r>
    </w:p>
    <w:p w14:paraId="24E656A9" w14:textId="33B9792A" w:rsidR="00AD5422" w:rsidRPr="00C316F8" w:rsidRDefault="006B6BF0" w:rsidP="003B711F">
      <w:pPr>
        <w:jc w:val="both"/>
        <w:rPr>
          <w:rFonts w:cstheme="minorHAnsi"/>
          <w:sz w:val="24"/>
          <w:szCs w:val="24"/>
          <w:lang w:val="es-CO"/>
        </w:rPr>
      </w:pPr>
      <w:r w:rsidRPr="00C316F8">
        <w:rPr>
          <w:lang w:val="es-CO"/>
        </w:rPr>
        <w:t>En Colombia, la alta informalidad laboral — que supera el 60% de la fuerza de trabajo — limitó el acceso a seguridad social y redujo la capacidad de los hogares para cumplir medidas de aislamiento, incrementando la exposición al contagio en los territorios con mayor pobreza multidimensional.</w:t>
      </w:r>
    </w:p>
    <w:p w14:paraId="336715E1" w14:textId="77777777" w:rsidR="006B6BF0" w:rsidRPr="00C316F8" w:rsidRDefault="006B6BF0" w:rsidP="003B711F">
      <w:pPr>
        <w:jc w:val="both"/>
        <w:rPr>
          <w:rFonts w:cstheme="minorHAnsi"/>
          <w:sz w:val="24"/>
          <w:szCs w:val="24"/>
          <w:lang w:val="es-ES"/>
        </w:rPr>
      </w:pPr>
    </w:p>
    <w:p w14:paraId="33974DB7" w14:textId="7FFAB415" w:rsidR="00AD5422" w:rsidRPr="00C316F8" w:rsidRDefault="00566EF4" w:rsidP="00566EF4">
      <w:pPr>
        <w:pStyle w:val="Ttulo2"/>
      </w:pPr>
      <w:bookmarkStart w:id="20" w:name="_Toc229834637"/>
      <w:r w:rsidRPr="00C316F8">
        <w:t>3.2.5</w:t>
      </w:r>
      <w:r w:rsidR="0081375F" w:rsidRPr="00C316F8">
        <w:tab/>
      </w:r>
      <w:r w:rsidR="00AD5422" w:rsidRPr="00C316F8">
        <w:t>R</w:t>
      </w:r>
      <w:r w:rsidRPr="00C316F8">
        <w:t>iqueza</w:t>
      </w:r>
      <w:bookmarkEnd w:id="20"/>
    </w:p>
    <w:p w14:paraId="0817EEB8" w14:textId="77777777" w:rsidR="00566EF4" w:rsidRPr="00C316F8" w:rsidRDefault="00566EF4" w:rsidP="00566EF4">
      <w:pPr>
        <w:rPr>
          <w:lang w:val="es-CO"/>
        </w:rPr>
      </w:pPr>
    </w:p>
    <w:p w14:paraId="42E9C3E2" w14:textId="21A6BA33" w:rsidR="00AD5422" w:rsidRPr="00C316F8" w:rsidRDefault="00AD5422" w:rsidP="003B711F">
      <w:pPr>
        <w:jc w:val="both"/>
        <w:rPr>
          <w:rFonts w:cstheme="minorHAnsi"/>
          <w:sz w:val="24"/>
          <w:szCs w:val="24"/>
          <w:lang w:val="es-ES"/>
        </w:rPr>
      </w:pPr>
      <w:r w:rsidRPr="00C316F8">
        <w:rPr>
          <w:rFonts w:cstheme="minorHAnsi"/>
          <w:sz w:val="24"/>
          <w:szCs w:val="24"/>
          <w:lang w:val="es-ES"/>
        </w:rPr>
        <w:t>La riqueza proporciona a las personas recursos para manejar emergencias, absorber impactos económicos y obtener una mejor asistencia médica</w:t>
      </w:r>
      <w:r w:rsidR="00A77C80" w:rsidRPr="00C316F8">
        <w:rPr>
          <w:rFonts w:cstheme="minorHAnsi"/>
          <w:sz w:val="24"/>
          <w:szCs w:val="24"/>
          <w:lang w:val="es-ES"/>
        </w:rPr>
        <w:t>;</w:t>
      </w:r>
      <w:r w:rsidRPr="00C316F8">
        <w:rPr>
          <w:rFonts w:cstheme="minorHAnsi"/>
          <w:sz w:val="24"/>
          <w:szCs w:val="24"/>
          <w:lang w:val="es-ES"/>
        </w:rPr>
        <w:t xml:space="preserve"> también es una medida acumulativa de los ingresos de por vida en los casos en que no se dispone</w:t>
      </w:r>
      <w:r w:rsidR="00A77C80" w:rsidRPr="00C316F8">
        <w:rPr>
          <w:rFonts w:cstheme="minorHAnsi"/>
          <w:sz w:val="24"/>
          <w:szCs w:val="24"/>
          <w:lang w:val="es-ES"/>
        </w:rPr>
        <w:t xml:space="preserve"> de</w:t>
      </w:r>
      <w:r w:rsidRPr="00C316F8">
        <w:rPr>
          <w:rFonts w:cstheme="minorHAnsi"/>
          <w:sz w:val="24"/>
          <w:szCs w:val="24"/>
          <w:lang w:val="es-ES"/>
        </w:rPr>
        <w:t xml:space="preserve"> medición de los ingresos. La riqueza varía a lo largo del ciclo de la vida, a menos que </w:t>
      </w:r>
      <w:r w:rsidR="00A77C80" w:rsidRPr="00C316F8">
        <w:rPr>
          <w:rFonts w:cstheme="minorHAnsi"/>
          <w:sz w:val="24"/>
          <w:szCs w:val="24"/>
          <w:lang w:val="es-ES"/>
        </w:rPr>
        <w:t>esté</w:t>
      </w:r>
      <w:r w:rsidRPr="00C316F8">
        <w:rPr>
          <w:rFonts w:cstheme="minorHAnsi"/>
          <w:sz w:val="24"/>
          <w:szCs w:val="24"/>
          <w:lang w:val="es-ES"/>
        </w:rPr>
        <w:t xml:space="preserve"> estandarizada por la edad y tenga disponibilidad antes de la muerte</w:t>
      </w:r>
      <w:r w:rsidR="00A77C80" w:rsidRPr="00C316F8">
        <w:rPr>
          <w:rFonts w:cstheme="minorHAnsi"/>
          <w:sz w:val="24"/>
          <w:szCs w:val="24"/>
          <w:lang w:val="es-ES"/>
        </w:rPr>
        <w:t>,</w:t>
      </w:r>
      <w:r w:rsidRPr="00C316F8">
        <w:rPr>
          <w:rFonts w:cstheme="minorHAnsi"/>
          <w:sz w:val="24"/>
          <w:szCs w:val="24"/>
          <w:lang w:val="es-ES"/>
        </w:rPr>
        <w:t xml:space="preserve"> puede existir una correlación inversa con la salud. Es difícil obtener datos de riqueza a partir de encuestas de hogares haciendo esto que sea un indicador limitado para estudios de mortalidad</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{"citationID":"PDZ6VV2t","properties":{"formattedCitation":"(31)","plainCitation":"(31)","noteIndex":0},"citationItems":[{"id":55,"uris":["http://zotero.org/users/5785509/items/H2FLXKWA"],"itemData":{"id":55,"type":"article-journal","abstract":"This review focuses on the widening disparities in death rates by socioeconomic class. In recent years, there has been a major increase in the availability of data linking mortality risk and measures of socioeconomic status. The result has been a virtual explosion of new empirical research showing not only the existence of large inequities in the risk of death between those at the top and those at the bottom of the socioeconomic distribution, but also that the gaps have been growing. This assessment of the empirical research finds a consistent pattern of growing disparities within the United States. However, this widening gap in death rates does appear to be a uniquely American phenomenon, as the disparities by socioeconomic class appear to be stable or even declining in Europe and Canada.","container-title":"Annual Review of Public Health","DOI":"10.1146/annurev-publhealth-040617-014615","ISSN":"0163-7525, 1545-2093","issue":"1","journalAbbreviation":"Annu. Rev. Public Health","language":"en","page":"237-251","source":"DOI.org (Crossref)","title":"Increasing Disparities in Mortality by Socioeconomic Status","URL":"https://www.annualreviews.org/doi/10.1146/annurev-publhealth-040617-014615","volume":"39","author":[{"family":"Bosworth","given":"Barry"}],"accessed":{"date-parts":[["2022",2,21]]},"issued":{"date-parts":[["2018",4,1]]}}}],"schema":"https://github.com/citation-style-language/schema/raw/master/csl-citation.json"} </w:instrText>
      </w:r>
      <w:r w:rsidRPr="00C316F8">
        <w:rPr>
          <w:rFonts w:cstheme="minorHAnsi"/>
          <w:sz w:val="24"/>
          <w:szCs w:val="24"/>
          <w:lang w:val="es-ES"/>
        </w:rPr>
        <w:fldChar w:fldCharType="separate"/>
      </w:r>
      <w:r w:rsidR="00707240" w:rsidRPr="00C316F8">
        <w:rPr>
          <w:rFonts w:cstheme="minorHAnsi"/>
          <w:sz w:val="24"/>
          <w:szCs w:val="24"/>
          <w:lang w:val="es-CO"/>
        </w:rPr>
        <w:t>(31)</w:t>
      </w:r>
      <w:r w:rsidRPr="00C316F8">
        <w:rPr>
          <w:rFonts w:cstheme="minorHAnsi"/>
          <w:sz w:val="24"/>
          <w:szCs w:val="24"/>
          <w:lang w:val="es-ES"/>
        </w:rPr>
        <w:fldChar w:fldCharType="end"/>
      </w:r>
    </w:p>
    <w:p w14:paraId="4CA1EA83" w14:textId="7D435129" w:rsidR="006B6BF0" w:rsidRPr="00C316F8" w:rsidRDefault="006B6BF0" w:rsidP="003B711F">
      <w:pPr>
        <w:jc w:val="both"/>
        <w:rPr>
          <w:rFonts w:cstheme="minorHAnsi"/>
          <w:sz w:val="24"/>
          <w:szCs w:val="24"/>
          <w:lang w:val="es-CO"/>
        </w:rPr>
      </w:pPr>
      <w:r w:rsidRPr="00C316F8">
        <w:rPr>
          <w:lang w:val="es-CO"/>
        </w:rPr>
        <w:t>La limitada disponibilidad de datos de riqueza en Colombia hace del CMPI —que incorpora dimensiones de vivienda, activos y condiciones del hogar— una herramienta más completa para capturar la vulnerabilidad estructural que condicionó la mortalidad por COVID-19.</w:t>
      </w:r>
    </w:p>
    <w:p w14:paraId="1D0C874D" w14:textId="4551C511" w:rsidR="00AD5422" w:rsidRPr="00C316F8" w:rsidRDefault="00566EF4" w:rsidP="003B711F">
      <w:pPr>
        <w:jc w:val="both"/>
        <w:rPr>
          <w:rFonts w:cstheme="minorHAnsi"/>
          <w:sz w:val="24"/>
          <w:szCs w:val="24"/>
          <w:lang w:val="es-ES"/>
        </w:rPr>
      </w:pPr>
      <w:bookmarkStart w:id="21" w:name="_Toc229834638"/>
      <w:r w:rsidRPr="00C316F8">
        <w:rPr>
          <w:rStyle w:val="Ttulo2Car"/>
        </w:rPr>
        <w:t>3.2.6</w:t>
      </w:r>
      <w:r w:rsidRPr="00C316F8">
        <w:rPr>
          <w:rStyle w:val="Ttulo2Car"/>
        </w:rPr>
        <w:tab/>
      </w:r>
      <w:r w:rsidR="0081375F" w:rsidRPr="00C316F8">
        <w:rPr>
          <w:rStyle w:val="Ttulo2Car"/>
        </w:rPr>
        <w:t>M</w:t>
      </w:r>
      <w:r w:rsidR="008E308B" w:rsidRPr="00C316F8">
        <w:rPr>
          <w:rStyle w:val="Ttulo2Car"/>
        </w:rPr>
        <w:t>ortalidad y género</w:t>
      </w:r>
      <w:bookmarkEnd w:id="21"/>
    </w:p>
    <w:p w14:paraId="04AF526B" w14:textId="720BCB6F" w:rsidR="00AD5422" w:rsidRPr="00C316F8" w:rsidRDefault="00AD5422" w:rsidP="003B711F">
      <w:pPr>
        <w:jc w:val="both"/>
        <w:rPr>
          <w:rFonts w:cstheme="minorHAnsi"/>
          <w:sz w:val="24"/>
          <w:szCs w:val="24"/>
          <w:lang w:val="es-ES"/>
        </w:rPr>
      </w:pPr>
      <w:r w:rsidRPr="00C316F8">
        <w:rPr>
          <w:rFonts w:cstheme="minorHAnsi"/>
          <w:sz w:val="24"/>
          <w:szCs w:val="24"/>
          <w:lang w:val="es-ES"/>
        </w:rPr>
        <w:t xml:space="preserve">Mustard et al., </w:t>
      </w:r>
      <w:r w:rsidR="00A77C80" w:rsidRPr="00C316F8">
        <w:rPr>
          <w:rFonts w:cstheme="minorHAnsi"/>
          <w:sz w:val="24"/>
          <w:szCs w:val="24"/>
          <w:lang w:val="es-ES"/>
        </w:rPr>
        <w:t>realizaron</w:t>
      </w:r>
      <w:r w:rsidRPr="00C316F8">
        <w:rPr>
          <w:rFonts w:cstheme="minorHAnsi"/>
          <w:sz w:val="24"/>
          <w:szCs w:val="24"/>
          <w:lang w:val="es-ES"/>
        </w:rPr>
        <w:t xml:space="preserve"> una revisión sistemática donde se evaluaron variables socioeconómicas de desigualdad con medidas absolutas y medidas relativas. En las medidas absolutas encontró que en un 90% de los estudios la mortalidad masculina fue más desigual que la femenina entre los grupos socioeconómicos, mientras que las medidas relativas no mostraron diferencia. Esta diferencia puede ser explicada por la esperanza de vida diferente entre hombres y mujeres</w:t>
      </w:r>
      <w:r w:rsidR="00A77C80" w:rsidRPr="00C316F8">
        <w:rPr>
          <w:rFonts w:cstheme="minorHAnsi"/>
          <w:sz w:val="24"/>
          <w:szCs w:val="24"/>
          <w:lang w:val="es-ES"/>
        </w:rPr>
        <w:t>;</w:t>
      </w:r>
      <w:r w:rsidRPr="00C316F8">
        <w:rPr>
          <w:rFonts w:cstheme="minorHAnsi"/>
          <w:sz w:val="24"/>
          <w:szCs w:val="24"/>
          <w:lang w:val="es-ES"/>
        </w:rPr>
        <w:t xml:space="preserve"> los hombres tienen mayor mortalidad por enfermedad coronaria</w:t>
      </w:r>
      <w:r w:rsidR="00A77C80" w:rsidRPr="00C316F8">
        <w:rPr>
          <w:rFonts w:cstheme="minorHAnsi"/>
          <w:sz w:val="24"/>
          <w:szCs w:val="24"/>
          <w:lang w:val="es-ES"/>
        </w:rPr>
        <w:t xml:space="preserve"> y</w:t>
      </w:r>
      <w:r w:rsidRPr="00C316F8">
        <w:rPr>
          <w:rFonts w:cstheme="minorHAnsi"/>
          <w:sz w:val="24"/>
          <w:szCs w:val="24"/>
          <w:lang w:val="es-ES"/>
        </w:rPr>
        <w:t xml:space="preserve"> enfermedad cerebrovascular</w:t>
      </w:r>
      <w:r w:rsidR="00A77C80" w:rsidRPr="00C316F8">
        <w:rPr>
          <w:rFonts w:cstheme="minorHAnsi"/>
          <w:sz w:val="24"/>
          <w:szCs w:val="24"/>
          <w:lang w:val="es-ES"/>
        </w:rPr>
        <w:t>,</w:t>
      </w:r>
      <w:r w:rsidRPr="00C316F8">
        <w:rPr>
          <w:rFonts w:cstheme="minorHAnsi"/>
          <w:sz w:val="24"/>
          <w:szCs w:val="24"/>
          <w:lang w:val="es-ES"/>
        </w:rPr>
        <w:t xml:space="preserve"> mientras que las causas de muerte en mujeres tienden a ser </w:t>
      </w:r>
      <w:r w:rsidR="00661889" w:rsidRPr="00C316F8">
        <w:rPr>
          <w:rFonts w:cstheme="minorHAnsi"/>
          <w:sz w:val="24"/>
          <w:szCs w:val="24"/>
          <w:lang w:val="es-ES"/>
        </w:rPr>
        <w:t>menores</w:t>
      </w:r>
      <w:r w:rsidR="00A77C80" w:rsidRPr="00C316F8">
        <w:rPr>
          <w:rFonts w:cstheme="minorHAnsi"/>
          <w:sz w:val="24"/>
          <w:szCs w:val="24"/>
          <w:lang w:val="es-ES"/>
        </w:rPr>
        <w:t>,</w:t>
      </w:r>
      <w:r w:rsidRPr="00C316F8">
        <w:rPr>
          <w:rFonts w:cstheme="minorHAnsi"/>
          <w:sz w:val="24"/>
          <w:szCs w:val="24"/>
          <w:lang w:val="es-ES"/>
        </w:rPr>
        <w:t xml:space="preserve"> como las asociadas a cáncer</w:t>
      </w:r>
      <w:r w:rsidR="00E902E0"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{"citationID":"lp6m529X","properties":{"formattedCitation":"(47)","plainCitation":"(47)","noteIndex":0},"citationItems":[{"id":40,"uris":["http://zotero.org/users/5785509/items/8DDX24ES"],"itemData":{"id":40,"type":"article-journal","container-title":"Journal of Epidemiology &amp; Community Health","DOI":"10.1136/jech.57.12.974","ISSN":"0143-005X","issue":"12","journalAbbreviation":"Journal of Epidemiology &amp; Community Health","language":"en","page":"974-980","source":"DOI.org (Crossref)","title":"Gender differences in socioeconomic inequality in mortality","URL":"https://jech.bmj.com/lookup/doi/10.1136/jech.57.12.974","volume":"57","author":[{"family":"Mustard","given":"C A"}],"accessed":{"date-parts":[["2022",2,26]]},"issued":{"date-parts":[["2003",12,1]]}}}],"schema":"https://github.com/citation-style-language/schema/raw/master/csl-citation.json"} </w:instrText>
      </w:r>
      <w:r w:rsidRPr="00C316F8">
        <w:rPr>
          <w:rFonts w:cstheme="minorHAnsi"/>
          <w:sz w:val="24"/>
          <w:szCs w:val="24"/>
          <w:lang w:val="es-ES"/>
        </w:rPr>
        <w:fldChar w:fldCharType="separate"/>
      </w:r>
      <w:r w:rsidR="00CD2033" w:rsidRPr="00C316F8">
        <w:rPr>
          <w:rFonts w:ascii="Calibri" w:hAnsi="Calibri" w:cs="Calibri"/>
          <w:sz w:val="24"/>
          <w:lang w:val="es-CO"/>
        </w:rPr>
        <w:t>(47)</w:t>
      </w:r>
      <w:r w:rsidRPr="00C316F8">
        <w:rPr>
          <w:rFonts w:cstheme="minorHAnsi"/>
          <w:sz w:val="24"/>
          <w:szCs w:val="24"/>
          <w:lang w:val="es-ES"/>
        </w:rPr>
        <w:fldChar w:fldCharType="end"/>
      </w:r>
    </w:p>
    <w:p w14:paraId="54F9843F" w14:textId="77777777" w:rsidR="00AD5422" w:rsidRPr="00C316F8" w:rsidRDefault="00AD5422" w:rsidP="003B711F">
      <w:pPr>
        <w:jc w:val="both"/>
        <w:rPr>
          <w:rFonts w:cstheme="minorHAnsi"/>
          <w:sz w:val="24"/>
          <w:szCs w:val="24"/>
          <w:lang w:val="es-ES"/>
        </w:rPr>
      </w:pPr>
    </w:p>
    <w:p w14:paraId="035359A1" w14:textId="23A80DD8" w:rsidR="00AD5422" w:rsidRPr="00C316F8" w:rsidRDefault="00C65306" w:rsidP="00C65306">
      <w:pPr>
        <w:pStyle w:val="Ttulo2"/>
      </w:pPr>
      <w:bookmarkStart w:id="22" w:name="_Toc229834639"/>
      <w:r w:rsidRPr="00C316F8">
        <w:lastRenderedPageBreak/>
        <w:t>3.2.7</w:t>
      </w:r>
      <w:r w:rsidRPr="00C316F8">
        <w:tab/>
        <w:t>Mortalidad y seguridad social</w:t>
      </w:r>
      <w:bookmarkEnd w:id="22"/>
    </w:p>
    <w:p w14:paraId="706A8305" w14:textId="77777777" w:rsidR="00C65306" w:rsidRPr="00C316F8" w:rsidRDefault="00C65306" w:rsidP="00C65306">
      <w:pPr>
        <w:rPr>
          <w:lang w:val="es-CO"/>
        </w:rPr>
      </w:pPr>
    </w:p>
    <w:p w14:paraId="2FA228D1" w14:textId="2AD514CA" w:rsidR="00AD5422" w:rsidRPr="00C316F8" w:rsidRDefault="00AD5422" w:rsidP="003B711F">
      <w:pPr>
        <w:jc w:val="both"/>
        <w:rPr>
          <w:rFonts w:cstheme="minorHAnsi"/>
          <w:sz w:val="24"/>
          <w:szCs w:val="24"/>
          <w:lang w:val="es-ES"/>
        </w:rPr>
      </w:pPr>
      <w:r w:rsidRPr="00C316F8">
        <w:rPr>
          <w:rFonts w:cstheme="minorHAnsi"/>
          <w:sz w:val="24"/>
          <w:szCs w:val="24"/>
          <w:lang w:val="es-ES"/>
        </w:rPr>
        <w:t>Existen brechas entre las personas de edad avanzada y su jubilación, es decir, solo las personas mayores que logran una pensión tienen una expectativa de vida mayor. Las personas que no logran una jubilación tienen una esperanza de vida más corta</w:t>
      </w:r>
      <w:r w:rsidR="005E1E8B" w:rsidRPr="00C316F8">
        <w:rPr>
          <w:rFonts w:cstheme="minorHAnsi"/>
          <w:sz w:val="24"/>
          <w:szCs w:val="24"/>
          <w:lang w:val="es-ES"/>
        </w:rPr>
        <w:t>,</w:t>
      </w:r>
      <w:r w:rsidRPr="00C316F8">
        <w:rPr>
          <w:rFonts w:cstheme="minorHAnsi"/>
          <w:sz w:val="24"/>
          <w:szCs w:val="24"/>
          <w:lang w:val="es-ES"/>
        </w:rPr>
        <w:t xml:space="preserve"> ampliando la brecha en la distribución de los ingresos. Estas personas que no logran una pensión dependen del Estado y sus subsidios</w:t>
      </w:r>
      <w:r w:rsidR="00A77C80" w:rsidRPr="00C316F8">
        <w:rPr>
          <w:rFonts w:cstheme="minorHAnsi"/>
          <w:sz w:val="24"/>
          <w:szCs w:val="24"/>
          <w:lang w:val="es-ES"/>
        </w:rPr>
        <w:t>,</w:t>
      </w:r>
      <w:r w:rsidRPr="00C316F8">
        <w:rPr>
          <w:rFonts w:cstheme="minorHAnsi"/>
          <w:sz w:val="24"/>
          <w:szCs w:val="24"/>
          <w:lang w:val="es-ES"/>
        </w:rPr>
        <w:t xml:space="preserve"> los cuales pueden no ser para toda la vida. </w:t>
      </w:r>
      <w:r w:rsidRPr="00C316F8">
        <w:rPr>
          <w:rFonts w:cstheme="minorHAnsi"/>
          <w:sz w:val="24"/>
          <w:szCs w:val="24"/>
          <w:lang w:val="es-ES"/>
        </w:rPr>
        <w:fldChar w:fldCharType="begin"/>
      </w:r>
      <w:r w:rsidR="00CD2033" w:rsidRPr="00C316F8">
        <w:rPr>
          <w:rFonts w:cstheme="minorHAnsi"/>
          <w:sz w:val="24"/>
          <w:szCs w:val="24"/>
          <w:lang w:val="es-ES"/>
        </w:rPr>
        <w:instrText xml:space="preserve"> ADDIN ZOTERO_ITEM CSL_CITATION {"citationID":"W9ENgmVS","properties":{"formattedCitation":"(31)","plainCitation":"(31)","noteIndex":0},"citationItems":[{"id":55,"uris":["http://zotero.org/users/5785509/items/H2FLXKWA"],"itemData":{"id":55,"type":"article-journal","abstract":"This review focuses on the widening disparities in death rates by socioeconomic class. In recent years, there has been a major increase in the availability of data linking mortality risk and measures of socioeconomic status. The result has been a virtual explosion of new empirical research showing not only the existence of large inequities in the risk of death between those at the top and those at the bottom of the socioeconomic distribution, but also that the gaps have been growing. This assessment of the empirical research finds a consistent pattern of growing disparities within the United States. However, this widening gap in death rates does appear to be a uniquely American phenomenon, as the disparities by socioeconomic class appear to be stable or even declining in Europe and Canada.","container-title":"Annual Review of Public Health","DOI":"10.1146/annurev-publhealth-040617-014615","ISSN":"0163-7525, 1545-2093","issue":"1","journalAbbreviation":"Annu. Rev. Public Health","language":"en","page":"237-251","source":"DOI.org (Crossref)","title":"Increasing Disparities in Mortality by Socioeconomic Status","URL":"https://www.annualreviews.org/doi/10.1146/annurev-publhealth-040617-014615","volume":"39","author":[{"family":"Bosworth","given":"Barry"}],"accessed":{"date-parts":[["2022",2,21]]},"issued":{"date-parts":[["2018",4,1]]}}}],"schema":"https://github.com/citation-style-language/schema/raw/master/csl-citation.json"} </w:instrText>
      </w:r>
      <w:r w:rsidRPr="00C316F8">
        <w:rPr>
          <w:rFonts w:cstheme="minorHAnsi"/>
          <w:sz w:val="24"/>
          <w:szCs w:val="24"/>
          <w:lang w:val="es-ES"/>
        </w:rPr>
        <w:fldChar w:fldCharType="separate"/>
      </w:r>
      <w:r w:rsidR="00707240" w:rsidRPr="00C316F8">
        <w:rPr>
          <w:rFonts w:cstheme="minorHAnsi"/>
          <w:sz w:val="24"/>
          <w:szCs w:val="24"/>
          <w:lang w:val="es-CO"/>
        </w:rPr>
        <w:t>(31)</w:t>
      </w:r>
      <w:r w:rsidRPr="00C316F8">
        <w:rPr>
          <w:rFonts w:cstheme="minorHAnsi"/>
          <w:sz w:val="24"/>
          <w:szCs w:val="24"/>
          <w:lang w:val="es-ES"/>
        </w:rPr>
        <w:fldChar w:fldCharType="end"/>
      </w:r>
    </w:p>
    <w:p w14:paraId="7B049DA9" w14:textId="77777777" w:rsidR="00AD5422" w:rsidRPr="00C316F8" w:rsidRDefault="00AD5422" w:rsidP="003B711F">
      <w:pPr>
        <w:jc w:val="both"/>
        <w:rPr>
          <w:rFonts w:cstheme="minorHAnsi"/>
          <w:sz w:val="24"/>
          <w:szCs w:val="24"/>
          <w:lang w:val="es-ES"/>
        </w:rPr>
      </w:pPr>
    </w:p>
    <w:p w14:paraId="2C53EE09" w14:textId="0476D0D9" w:rsidR="00E15DB8" w:rsidRPr="00C316F8" w:rsidRDefault="0061284B" w:rsidP="0061284B">
      <w:pPr>
        <w:pStyle w:val="Ttulo1"/>
        <w:rPr>
          <w:lang w:val="es-CO"/>
        </w:rPr>
      </w:pPr>
      <w:bookmarkStart w:id="23" w:name="_Toc229834640"/>
      <w:r w:rsidRPr="00C316F8">
        <w:rPr>
          <w:lang w:val="es-CO"/>
        </w:rPr>
        <w:t>3.3</w:t>
      </w:r>
      <w:r w:rsidRPr="00C316F8">
        <w:rPr>
          <w:lang w:val="es-CO"/>
        </w:rPr>
        <w:tab/>
      </w:r>
      <w:r w:rsidR="00E15DB8" w:rsidRPr="00C316F8">
        <w:rPr>
          <w:lang w:val="es-CO"/>
        </w:rPr>
        <w:t>Contexto territorial</w:t>
      </w:r>
      <w:r w:rsidR="005A3874" w:rsidRPr="00C316F8">
        <w:rPr>
          <w:lang w:val="es-CO"/>
        </w:rPr>
        <w:t>,</w:t>
      </w:r>
      <w:r w:rsidR="00E15DB8" w:rsidRPr="00C316F8">
        <w:rPr>
          <w:lang w:val="es-CO"/>
        </w:rPr>
        <w:t xml:space="preserve"> </w:t>
      </w:r>
      <w:r w:rsidR="005A3874" w:rsidRPr="00C316F8">
        <w:rPr>
          <w:lang w:val="es-CO"/>
        </w:rPr>
        <w:t xml:space="preserve">social </w:t>
      </w:r>
      <w:r w:rsidR="00E15DB8" w:rsidRPr="00C316F8">
        <w:rPr>
          <w:lang w:val="es-CO"/>
        </w:rPr>
        <w:t xml:space="preserve">y sanitario de la pandemia </w:t>
      </w:r>
      <w:r w:rsidR="004C62EB" w:rsidRPr="00C316F8">
        <w:rPr>
          <w:lang w:val="es-CO"/>
        </w:rPr>
        <w:t xml:space="preserve">COVID-19 </w:t>
      </w:r>
      <w:r w:rsidR="00E15DB8" w:rsidRPr="00C316F8">
        <w:rPr>
          <w:lang w:val="es-CO"/>
        </w:rPr>
        <w:t>en Colombia</w:t>
      </w:r>
      <w:bookmarkEnd w:id="23"/>
    </w:p>
    <w:p w14:paraId="4611D508" w14:textId="77777777" w:rsidR="0061284B" w:rsidRPr="00C316F8" w:rsidRDefault="0061284B" w:rsidP="0061284B">
      <w:pPr>
        <w:rPr>
          <w:lang w:val="es-CO"/>
        </w:rPr>
      </w:pPr>
    </w:p>
    <w:p w14:paraId="22E11D3C" w14:textId="03940514" w:rsidR="00DD3E07" w:rsidRPr="00C316F8" w:rsidRDefault="0061284B" w:rsidP="0061284B">
      <w:pPr>
        <w:pStyle w:val="Ttulo2"/>
      </w:pPr>
      <w:bookmarkStart w:id="24" w:name="_Toc229834641"/>
      <w:r w:rsidRPr="00C316F8">
        <w:t>3.3.1</w:t>
      </w:r>
      <w:r w:rsidRPr="00C316F8">
        <w:tab/>
      </w:r>
      <w:r w:rsidR="005A3874" w:rsidRPr="00C316F8">
        <w:t>Contexto territorial</w:t>
      </w:r>
      <w:bookmarkEnd w:id="24"/>
    </w:p>
    <w:p w14:paraId="73A7994D" w14:textId="77777777" w:rsidR="0061284B" w:rsidRPr="00C316F8" w:rsidRDefault="0061284B" w:rsidP="0061284B">
      <w:pPr>
        <w:rPr>
          <w:lang w:val="es-CO"/>
        </w:rPr>
      </w:pPr>
    </w:p>
    <w:p w14:paraId="362970B7" w14:textId="0812781D" w:rsidR="00DD3E07" w:rsidRPr="00C316F8" w:rsidRDefault="00DD3E07" w:rsidP="003B711F">
      <w:pPr>
        <w:jc w:val="both"/>
        <w:rPr>
          <w:rFonts w:cstheme="minorHAnsi"/>
          <w:sz w:val="24"/>
          <w:szCs w:val="24"/>
          <w:lang w:val="es-CO"/>
        </w:rPr>
      </w:pPr>
      <w:r w:rsidRPr="00C316F8">
        <w:rPr>
          <w:rFonts w:cstheme="minorHAnsi"/>
          <w:sz w:val="24"/>
          <w:szCs w:val="24"/>
          <w:lang w:val="es-CO"/>
        </w:rPr>
        <w:t>La categorización territorial en Colombia fue concebida como un instrumento normativo para diferenciar a los municipios y departamentos según su capacidad administrativa, fiscal y poblacional, con el fin de promover una gestión pública más eficiente y responsable. Esta clasificación busca adecuar las exigencias de organización, funcionamiento y control fiscal a la realidad económica y social de cada entidad territorial, evitando que aquellas con menores capacidades asuman compromisos desproporcionados. En esencia, la categorización responde a la necesidad de reconocer la heterogeneidad del territorio nacional, fortalecer el proceso de descentralización y garantizar que las funciones públicas se ejerzan conforme a las condiciones particulares de cada nivel subnacional</w:t>
      </w:r>
      <w:r w:rsidR="00E902E0" w:rsidRPr="00C316F8">
        <w:rPr>
          <w:rFonts w:cstheme="minorHAnsi"/>
          <w:sz w:val="24"/>
          <w:szCs w:val="24"/>
          <w:lang w:val="es-CO"/>
        </w:rPr>
        <w:t>.</w:t>
      </w:r>
      <w:r w:rsidRPr="00C316F8">
        <w:rPr>
          <w:rFonts w:cstheme="minorHAnsi"/>
          <w:sz w:val="24"/>
          <w:szCs w:val="24"/>
          <w:lang w:val="es-CO"/>
        </w:rPr>
        <w:t xml:space="preserve"> </w:t>
      </w:r>
      <w:r w:rsidR="00E87115" w:rsidRPr="00C316F8">
        <w:rPr>
          <w:rFonts w:cstheme="minorHAnsi"/>
          <w:sz w:val="24"/>
          <w:szCs w:val="24"/>
          <w:lang w:val="es-CO"/>
        </w:rPr>
        <w:fldChar w:fldCharType="begin"/>
      </w:r>
      <w:r w:rsidR="00CD2033" w:rsidRPr="00C316F8">
        <w:rPr>
          <w:rFonts w:cstheme="minorHAnsi"/>
          <w:sz w:val="24"/>
          <w:szCs w:val="24"/>
          <w:lang w:val="es-CO"/>
        </w:rPr>
        <w:instrText xml:space="preserve"> ADDIN ZOTERO_ITEM CSL_CITATION {"citationID":"Nk8fu2Jk","properties":{"formattedCitation":"(48,49)","plainCitation":"(48,49)","noteIndex":0},"citationItems":[{"id":950,"uris":["http://zotero.org/users/5785509/items/43HU66EI"],"itemData":{"id":950,"type":"webpage","title":"Ley 1551 de 2012 - Gestor Normativo - Función Pública","URL":"https://www.funcionpublica.gov.co/eva/gestornormativo/norma.php?i=48267","accessed":{"date-parts":[["2024",1,20]]}}},{"id":948,"uris":["http://zotero.org/users/5785509/items/MF2TRRI4"],"itemData":{"id":948,"type":"webpage","title":"LEY 136 DE 1994","URL":"https://www.suin-juriscol.gov.co/viewDocument.asp?id=1648916","accessed":{"date-parts":[["2024",1,20]]}}}],"schema":"https://github.com/citation-style-language/schema/raw/master/csl-citation.json"} </w:instrText>
      </w:r>
      <w:r w:rsidR="00E87115" w:rsidRPr="00C316F8">
        <w:rPr>
          <w:rFonts w:cstheme="minorHAnsi"/>
          <w:sz w:val="24"/>
          <w:szCs w:val="24"/>
          <w:lang w:val="es-CO"/>
        </w:rPr>
        <w:fldChar w:fldCharType="separate"/>
      </w:r>
      <w:r w:rsidR="00CD2033" w:rsidRPr="00C316F8">
        <w:rPr>
          <w:rFonts w:ascii="Calibri" w:hAnsi="Calibri" w:cs="Calibri"/>
          <w:sz w:val="24"/>
          <w:lang w:val="es-CO"/>
        </w:rPr>
        <w:t>(48,49)</w:t>
      </w:r>
      <w:r w:rsidR="00E87115" w:rsidRPr="00C316F8">
        <w:rPr>
          <w:rFonts w:cstheme="minorHAnsi"/>
          <w:sz w:val="24"/>
          <w:szCs w:val="24"/>
          <w:lang w:val="es-CO"/>
        </w:rPr>
        <w:fldChar w:fldCharType="end"/>
      </w:r>
    </w:p>
    <w:p w14:paraId="47D898EA" w14:textId="4FE10EA4" w:rsidR="00464B1C" w:rsidRPr="00C316F8" w:rsidRDefault="00FE7550" w:rsidP="003B711F">
      <w:pPr>
        <w:jc w:val="both"/>
        <w:rPr>
          <w:rFonts w:cstheme="minorHAnsi"/>
          <w:sz w:val="24"/>
          <w:szCs w:val="24"/>
          <w:lang w:val="es-CO"/>
        </w:rPr>
      </w:pPr>
      <w:r w:rsidRPr="00C316F8">
        <w:rPr>
          <w:rFonts w:cstheme="minorHAnsi"/>
          <w:sz w:val="24"/>
          <w:szCs w:val="24"/>
          <w:lang w:val="es-CO"/>
        </w:rPr>
        <w:t>La categorización de los municipios en Colombia responde a un marco normativo que ha evolucionado progresivamente. La Ley 136 de 1994 estableció las bases de la organización municipal, pero fue la Ley 617 de 2000 la que introdujo la clasificación fiscal vigente, definiendo siete categorías —desde la especial hasta la sexta— con base en los ingresos corrientes de libre destinación (ICLD) expresados en salarios mínimos legales mensuales vigentes y el número de habitantes. Posteriormente, la Ley 1551 de 2012 actualizó y modernizó este esquema, incorporando criterios adicionales de gestión, eficiencia administrativa y desarrollo territorial. En conjunto, estas dos leyes constituyen el marco normativo pertinente para analizar la capacidad fiscal y administrativa de los municipios colombianos durante la pandemia por COVID-19, dado que determinan los recursos disponibles para la prestación de servicios públicos esenciales, incluida la atención en salud. Aunque la Constitución de 1991 contempla factores como la situación geográfica y la importancia económica, la implementación normativa se ha limitado a dimensiones cuantitativas, perpetuando un modelo de gestión homogéneo que no responde a las particularidades territoriales, especialmente en los municipios más pequeños y fiscalmente dependientes.</w:t>
      </w:r>
      <w:r w:rsidR="00426445" w:rsidRPr="00C316F8">
        <w:rPr>
          <w:rFonts w:cstheme="minorHAnsi"/>
          <w:sz w:val="24"/>
          <w:szCs w:val="24"/>
          <w:lang w:val="es-CO"/>
        </w:rPr>
        <w:fldChar w:fldCharType="begin"/>
      </w:r>
      <w:r w:rsidR="00900181" w:rsidRPr="00C316F8">
        <w:rPr>
          <w:rFonts w:cstheme="minorHAnsi"/>
          <w:sz w:val="24"/>
          <w:szCs w:val="24"/>
          <w:lang w:val="es-CO"/>
        </w:rPr>
        <w:instrText xml:space="preserve"> ADDIN ZOTERO_ITEM CSL_CITATION {"citationID":"a2dvsjia5ds","properties":{"unsorted":false,"formattedCitation":"(48\\uc0\\u8211{}50)","plainCitation":"(48–50)","noteIndex":0},"citationItems":[{"id":950,"uris":["http://zotero.org/users/5785509/items/43HU66EI"],"itemData":{"id":950,"type":"webpage","title":"Ley 1551 de 2012 - Gestor Normativo - Función Pública","URL":"https://www.funcionpublica.gov.co/eva/gestornormativo/norma.php?i=48267","accessed":{"date-parts":[["2024",1,20]]}}},{"id":935,"uris":["http://zotero.org/users/5785509/items/ZWXNDZXR"],"itemData":{"id":935,"type":"webpage","title":"LEY 617 DE 2000","URL":"https://www.suin-juriscol.gov.co/viewDocument.asp?ruta=Leyes/1664753","accessed":{"date-parts":[["2023",12,13]]}}},{"id":948,"uris":["http://zotero.org/users/5785509/items/MF2TRRI4"],"itemData":{"id":948,"type":"webpage","title":"LEY 136 DE 1994","URL":"https://www.suin-juriscol.gov.co/viewDocument.asp?id=1648916","accessed":{"date-parts":[["2024",1,20]]}}}],"schema":"https://github.com/citation-style-language/schema/raw/master/csl-citation.json"} </w:instrText>
      </w:r>
      <w:r w:rsidR="00426445" w:rsidRPr="00C316F8">
        <w:rPr>
          <w:rFonts w:cstheme="minorHAnsi"/>
          <w:sz w:val="24"/>
          <w:szCs w:val="24"/>
          <w:lang w:val="es-CO"/>
        </w:rPr>
        <w:fldChar w:fldCharType="separate"/>
      </w:r>
      <w:r w:rsidR="00900181" w:rsidRPr="00C316F8">
        <w:rPr>
          <w:rFonts w:ascii="Calibri" w:hAnsi="Calibri" w:cs="Calibri"/>
          <w:sz w:val="24"/>
          <w:szCs w:val="24"/>
        </w:rPr>
        <w:t>(48–50)</w:t>
      </w:r>
      <w:r w:rsidR="00426445" w:rsidRPr="00C316F8">
        <w:rPr>
          <w:rFonts w:cstheme="minorHAnsi"/>
          <w:sz w:val="24"/>
          <w:szCs w:val="24"/>
          <w:lang w:val="es-CO"/>
        </w:rPr>
        <w:fldChar w:fldCharType="end"/>
      </w:r>
    </w:p>
    <w:p w14:paraId="541652F7" w14:textId="3C37C658" w:rsidR="0061284B" w:rsidRPr="00C316F8" w:rsidRDefault="0061284B" w:rsidP="0061284B">
      <w:pPr>
        <w:pStyle w:val="Descripcin"/>
        <w:keepNext/>
        <w:jc w:val="both"/>
        <w:rPr>
          <w:rFonts w:asciiTheme="minorHAnsi" w:hAnsiTheme="minorHAnsi" w:cstheme="minorHAnsi"/>
          <w:b/>
          <w:bCs/>
          <w:i w:val="0"/>
          <w:iCs w:val="0"/>
          <w:color w:val="auto"/>
          <w:sz w:val="24"/>
          <w:szCs w:val="24"/>
        </w:rPr>
      </w:pPr>
      <w:bookmarkStart w:id="25" w:name="_Toc229834690"/>
      <w:r w:rsidRPr="00C316F8">
        <w:rPr>
          <w:rFonts w:asciiTheme="minorHAnsi" w:hAnsiTheme="minorHAnsi" w:cstheme="minorHAnsi"/>
          <w:b/>
          <w:bCs/>
          <w:i w:val="0"/>
          <w:iCs w:val="0"/>
          <w:color w:val="auto"/>
          <w:sz w:val="24"/>
          <w:szCs w:val="24"/>
        </w:rPr>
        <w:lastRenderedPageBreak/>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1</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Categorización municipal en Colombia</w:t>
      </w:r>
      <w:bookmarkEnd w:id="25"/>
    </w:p>
    <w:p w14:paraId="4BF02D91" w14:textId="0BD39E82" w:rsidR="00F77B48" w:rsidRPr="00C316F8" w:rsidRDefault="00F77B48" w:rsidP="003B711F">
      <w:pPr>
        <w:jc w:val="both"/>
        <w:rPr>
          <w:rFonts w:cstheme="minorHAnsi"/>
          <w:bCs/>
          <w:sz w:val="24"/>
          <w:szCs w:val="24"/>
          <w:lang w:val="es-CO"/>
        </w:rPr>
      </w:pPr>
    </w:p>
    <w:tbl>
      <w:tblPr>
        <w:tblStyle w:val="Tablaconcuadrcula"/>
        <w:tblW w:w="0" w:type="auto"/>
        <w:tblLook w:val="04A0" w:firstRow="1" w:lastRow="0" w:firstColumn="1" w:lastColumn="0" w:noHBand="0" w:noVBand="1"/>
      </w:tblPr>
      <w:tblGrid>
        <w:gridCol w:w="2160"/>
        <w:gridCol w:w="2160"/>
        <w:gridCol w:w="2160"/>
        <w:gridCol w:w="2160"/>
      </w:tblGrid>
      <w:tr w:rsidR="005A3874" w:rsidRPr="00C316F8" w14:paraId="2E6458AB" w14:textId="77777777" w:rsidTr="001444F0">
        <w:tc>
          <w:tcPr>
            <w:tcW w:w="2160" w:type="dxa"/>
          </w:tcPr>
          <w:p w14:paraId="01875AF1" w14:textId="77777777" w:rsidR="005A3874" w:rsidRPr="00C316F8" w:rsidRDefault="005A3874" w:rsidP="003B711F">
            <w:pPr>
              <w:jc w:val="both"/>
              <w:rPr>
                <w:rFonts w:cstheme="minorHAnsi"/>
                <w:sz w:val="24"/>
                <w:szCs w:val="24"/>
              </w:rPr>
            </w:pPr>
            <w:r w:rsidRPr="00C316F8">
              <w:rPr>
                <w:rFonts w:cstheme="minorHAnsi"/>
                <w:sz w:val="24"/>
                <w:szCs w:val="24"/>
              </w:rPr>
              <w:t>Categoría</w:t>
            </w:r>
          </w:p>
        </w:tc>
        <w:tc>
          <w:tcPr>
            <w:tcW w:w="2160" w:type="dxa"/>
          </w:tcPr>
          <w:p w14:paraId="40B880B4" w14:textId="77777777" w:rsidR="005A3874" w:rsidRPr="00C316F8" w:rsidRDefault="005A3874" w:rsidP="003B711F">
            <w:pPr>
              <w:jc w:val="both"/>
              <w:rPr>
                <w:rFonts w:cstheme="minorHAnsi"/>
                <w:sz w:val="24"/>
                <w:szCs w:val="24"/>
              </w:rPr>
            </w:pPr>
            <w:r w:rsidRPr="00C316F8">
              <w:rPr>
                <w:rFonts w:cstheme="minorHAnsi"/>
                <w:sz w:val="24"/>
                <w:szCs w:val="24"/>
              </w:rPr>
              <w:t>Población (habitantes)</w:t>
            </w:r>
          </w:p>
        </w:tc>
        <w:tc>
          <w:tcPr>
            <w:tcW w:w="2160" w:type="dxa"/>
          </w:tcPr>
          <w:p w14:paraId="012E593B" w14:textId="77777777" w:rsidR="005A3874" w:rsidRPr="00C316F8" w:rsidRDefault="005A3874" w:rsidP="003B711F">
            <w:pPr>
              <w:jc w:val="both"/>
              <w:rPr>
                <w:rFonts w:cstheme="minorHAnsi"/>
                <w:sz w:val="24"/>
                <w:szCs w:val="24"/>
                <w:lang w:val="es-CO"/>
              </w:rPr>
            </w:pPr>
            <w:r w:rsidRPr="00C316F8">
              <w:rPr>
                <w:rFonts w:cstheme="minorHAnsi"/>
                <w:sz w:val="24"/>
                <w:szCs w:val="24"/>
                <w:lang w:val="es-CO"/>
              </w:rPr>
              <w:t>Ingresos Corrientes de Libre Destinación (SMLMV)</w:t>
            </w:r>
          </w:p>
        </w:tc>
        <w:tc>
          <w:tcPr>
            <w:tcW w:w="2160" w:type="dxa"/>
          </w:tcPr>
          <w:p w14:paraId="6A21D139" w14:textId="77777777" w:rsidR="005A3874" w:rsidRPr="00C316F8" w:rsidRDefault="005A3874" w:rsidP="003B711F">
            <w:pPr>
              <w:jc w:val="both"/>
              <w:rPr>
                <w:rFonts w:cstheme="minorHAnsi"/>
                <w:sz w:val="24"/>
                <w:szCs w:val="24"/>
              </w:rPr>
            </w:pPr>
            <w:r w:rsidRPr="00C316F8">
              <w:rPr>
                <w:rFonts w:cstheme="minorHAnsi"/>
                <w:sz w:val="24"/>
                <w:szCs w:val="24"/>
              </w:rPr>
              <w:t>Grupo funcional</w:t>
            </w:r>
          </w:p>
        </w:tc>
      </w:tr>
      <w:tr w:rsidR="005A3874" w:rsidRPr="00C316F8" w14:paraId="4959CF2F" w14:textId="77777777" w:rsidTr="001444F0">
        <w:tc>
          <w:tcPr>
            <w:tcW w:w="2160" w:type="dxa"/>
          </w:tcPr>
          <w:p w14:paraId="5AAA58B5" w14:textId="77777777" w:rsidR="005A3874" w:rsidRPr="00C316F8" w:rsidRDefault="005A3874" w:rsidP="003B711F">
            <w:pPr>
              <w:jc w:val="both"/>
              <w:rPr>
                <w:rFonts w:cstheme="minorHAnsi"/>
                <w:sz w:val="24"/>
                <w:szCs w:val="24"/>
              </w:rPr>
            </w:pPr>
            <w:r w:rsidRPr="00C316F8">
              <w:rPr>
                <w:rFonts w:cstheme="minorHAnsi"/>
                <w:sz w:val="24"/>
                <w:szCs w:val="24"/>
              </w:rPr>
              <w:t>Especial</w:t>
            </w:r>
          </w:p>
        </w:tc>
        <w:tc>
          <w:tcPr>
            <w:tcW w:w="2160" w:type="dxa"/>
          </w:tcPr>
          <w:p w14:paraId="541A079F" w14:textId="77777777" w:rsidR="005A3874" w:rsidRPr="00C316F8" w:rsidRDefault="005A3874" w:rsidP="003B711F">
            <w:pPr>
              <w:jc w:val="both"/>
              <w:rPr>
                <w:rFonts w:cstheme="minorHAnsi"/>
                <w:sz w:val="24"/>
                <w:szCs w:val="24"/>
              </w:rPr>
            </w:pPr>
            <w:r w:rsidRPr="00C316F8">
              <w:rPr>
                <w:rFonts w:cstheme="minorHAnsi"/>
                <w:sz w:val="24"/>
                <w:szCs w:val="24"/>
              </w:rPr>
              <w:t>&gt;= 500.001</w:t>
            </w:r>
          </w:p>
        </w:tc>
        <w:tc>
          <w:tcPr>
            <w:tcW w:w="2160" w:type="dxa"/>
          </w:tcPr>
          <w:p w14:paraId="05A33FDF" w14:textId="77777777" w:rsidR="005A3874" w:rsidRPr="00C316F8" w:rsidRDefault="005A3874" w:rsidP="003B711F">
            <w:pPr>
              <w:jc w:val="both"/>
              <w:rPr>
                <w:rFonts w:cstheme="minorHAnsi"/>
                <w:sz w:val="24"/>
                <w:szCs w:val="24"/>
              </w:rPr>
            </w:pPr>
            <w:r w:rsidRPr="00C316F8">
              <w:rPr>
                <w:rFonts w:cstheme="minorHAnsi"/>
                <w:sz w:val="24"/>
                <w:szCs w:val="24"/>
              </w:rPr>
              <w:t>&gt; 400.000</w:t>
            </w:r>
          </w:p>
        </w:tc>
        <w:tc>
          <w:tcPr>
            <w:tcW w:w="2160" w:type="dxa"/>
          </w:tcPr>
          <w:p w14:paraId="62D61112" w14:textId="77777777" w:rsidR="005A3874" w:rsidRPr="00C316F8" w:rsidRDefault="005A3874" w:rsidP="003B711F">
            <w:pPr>
              <w:jc w:val="both"/>
              <w:rPr>
                <w:rFonts w:cstheme="minorHAnsi"/>
                <w:sz w:val="24"/>
                <w:szCs w:val="24"/>
              </w:rPr>
            </w:pPr>
            <w:r w:rsidRPr="00C316F8">
              <w:rPr>
                <w:rFonts w:cstheme="minorHAnsi"/>
                <w:sz w:val="24"/>
                <w:szCs w:val="24"/>
              </w:rPr>
              <w:t>Municipios grandes</w:t>
            </w:r>
          </w:p>
        </w:tc>
      </w:tr>
      <w:tr w:rsidR="005A3874" w:rsidRPr="00C316F8" w14:paraId="16BBDDBB" w14:textId="77777777" w:rsidTr="001444F0">
        <w:tc>
          <w:tcPr>
            <w:tcW w:w="2160" w:type="dxa"/>
          </w:tcPr>
          <w:p w14:paraId="156E0A47" w14:textId="77777777" w:rsidR="005A3874" w:rsidRPr="00C316F8" w:rsidRDefault="005A3874" w:rsidP="003B711F">
            <w:pPr>
              <w:jc w:val="both"/>
              <w:rPr>
                <w:rFonts w:cstheme="minorHAnsi"/>
                <w:sz w:val="24"/>
                <w:szCs w:val="24"/>
              </w:rPr>
            </w:pPr>
            <w:r w:rsidRPr="00C316F8">
              <w:rPr>
                <w:rFonts w:cstheme="minorHAnsi"/>
                <w:sz w:val="24"/>
                <w:szCs w:val="24"/>
              </w:rPr>
              <w:t>Primera</w:t>
            </w:r>
          </w:p>
        </w:tc>
        <w:tc>
          <w:tcPr>
            <w:tcW w:w="2160" w:type="dxa"/>
          </w:tcPr>
          <w:p w14:paraId="398D1538" w14:textId="77777777" w:rsidR="005A3874" w:rsidRPr="00C316F8" w:rsidRDefault="005A3874" w:rsidP="003B711F">
            <w:pPr>
              <w:jc w:val="both"/>
              <w:rPr>
                <w:rFonts w:cstheme="minorHAnsi"/>
                <w:sz w:val="24"/>
                <w:szCs w:val="24"/>
              </w:rPr>
            </w:pPr>
            <w:r w:rsidRPr="00C316F8">
              <w:rPr>
                <w:rFonts w:cstheme="minorHAnsi"/>
                <w:sz w:val="24"/>
                <w:szCs w:val="24"/>
              </w:rPr>
              <w:t>100.001 - 500.000</w:t>
            </w:r>
          </w:p>
        </w:tc>
        <w:tc>
          <w:tcPr>
            <w:tcW w:w="2160" w:type="dxa"/>
          </w:tcPr>
          <w:p w14:paraId="7473CD7F" w14:textId="77777777" w:rsidR="005A3874" w:rsidRPr="00C316F8" w:rsidRDefault="005A3874" w:rsidP="003B711F">
            <w:pPr>
              <w:jc w:val="both"/>
              <w:rPr>
                <w:rFonts w:cstheme="minorHAnsi"/>
                <w:sz w:val="24"/>
                <w:szCs w:val="24"/>
              </w:rPr>
            </w:pPr>
            <w:r w:rsidRPr="00C316F8">
              <w:rPr>
                <w:rFonts w:cstheme="minorHAnsi"/>
                <w:sz w:val="24"/>
                <w:szCs w:val="24"/>
              </w:rPr>
              <w:t>100.000 - 400.000</w:t>
            </w:r>
          </w:p>
        </w:tc>
        <w:tc>
          <w:tcPr>
            <w:tcW w:w="2160" w:type="dxa"/>
          </w:tcPr>
          <w:p w14:paraId="199F7E45" w14:textId="77777777" w:rsidR="005A3874" w:rsidRPr="00C316F8" w:rsidRDefault="005A3874" w:rsidP="003B711F">
            <w:pPr>
              <w:jc w:val="both"/>
              <w:rPr>
                <w:rFonts w:cstheme="minorHAnsi"/>
                <w:sz w:val="24"/>
                <w:szCs w:val="24"/>
              </w:rPr>
            </w:pPr>
            <w:r w:rsidRPr="00C316F8">
              <w:rPr>
                <w:rFonts w:cstheme="minorHAnsi"/>
                <w:sz w:val="24"/>
                <w:szCs w:val="24"/>
              </w:rPr>
              <w:t>Municipios grandes</w:t>
            </w:r>
          </w:p>
        </w:tc>
      </w:tr>
      <w:tr w:rsidR="005A3874" w:rsidRPr="00C316F8" w14:paraId="262A1939" w14:textId="77777777" w:rsidTr="001444F0">
        <w:tc>
          <w:tcPr>
            <w:tcW w:w="2160" w:type="dxa"/>
          </w:tcPr>
          <w:p w14:paraId="40361F68" w14:textId="77777777" w:rsidR="005A3874" w:rsidRPr="00C316F8" w:rsidRDefault="005A3874" w:rsidP="003B711F">
            <w:pPr>
              <w:jc w:val="both"/>
              <w:rPr>
                <w:rFonts w:cstheme="minorHAnsi"/>
                <w:sz w:val="24"/>
                <w:szCs w:val="24"/>
              </w:rPr>
            </w:pPr>
            <w:r w:rsidRPr="00C316F8">
              <w:rPr>
                <w:rFonts w:cstheme="minorHAnsi"/>
                <w:sz w:val="24"/>
                <w:szCs w:val="24"/>
              </w:rPr>
              <w:t>Segunda</w:t>
            </w:r>
          </w:p>
        </w:tc>
        <w:tc>
          <w:tcPr>
            <w:tcW w:w="2160" w:type="dxa"/>
          </w:tcPr>
          <w:p w14:paraId="775FB5C4" w14:textId="77777777" w:rsidR="005A3874" w:rsidRPr="00C316F8" w:rsidRDefault="005A3874" w:rsidP="003B711F">
            <w:pPr>
              <w:jc w:val="both"/>
              <w:rPr>
                <w:rFonts w:cstheme="minorHAnsi"/>
                <w:sz w:val="24"/>
                <w:szCs w:val="24"/>
              </w:rPr>
            </w:pPr>
            <w:r w:rsidRPr="00C316F8">
              <w:rPr>
                <w:rFonts w:cstheme="minorHAnsi"/>
                <w:sz w:val="24"/>
                <w:szCs w:val="24"/>
              </w:rPr>
              <w:t>50.001 - 100.000</w:t>
            </w:r>
          </w:p>
        </w:tc>
        <w:tc>
          <w:tcPr>
            <w:tcW w:w="2160" w:type="dxa"/>
          </w:tcPr>
          <w:p w14:paraId="2DCD0A01" w14:textId="77777777" w:rsidR="005A3874" w:rsidRPr="00C316F8" w:rsidRDefault="005A3874" w:rsidP="003B711F">
            <w:pPr>
              <w:jc w:val="both"/>
              <w:rPr>
                <w:rFonts w:cstheme="minorHAnsi"/>
                <w:sz w:val="24"/>
                <w:szCs w:val="24"/>
              </w:rPr>
            </w:pPr>
            <w:r w:rsidRPr="00C316F8">
              <w:rPr>
                <w:rFonts w:cstheme="minorHAnsi"/>
                <w:sz w:val="24"/>
                <w:szCs w:val="24"/>
              </w:rPr>
              <w:t>50.000 - 100.000</w:t>
            </w:r>
          </w:p>
        </w:tc>
        <w:tc>
          <w:tcPr>
            <w:tcW w:w="2160" w:type="dxa"/>
          </w:tcPr>
          <w:p w14:paraId="2E058E1F" w14:textId="77777777" w:rsidR="005A3874" w:rsidRPr="00C316F8" w:rsidRDefault="005A3874" w:rsidP="003B711F">
            <w:pPr>
              <w:jc w:val="both"/>
              <w:rPr>
                <w:rFonts w:cstheme="minorHAnsi"/>
                <w:sz w:val="24"/>
                <w:szCs w:val="24"/>
              </w:rPr>
            </w:pPr>
            <w:r w:rsidRPr="00C316F8">
              <w:rPr>
                <w:rFonts w:cstheme="minorHAnsi"/>
                <w:sz w:val="24"/>
                <w:szCs w:val="24"/>
              </w:rPr>
              <w:t>Municipios intermedios</w:t>
            </w:r>
          </w:p>
        </w:tc>
      </w:tr>
      <w:tr w:rsidR="005A3874" w:rsidRPr="00C316F8" w14:paraId="1974F5EF" w14:textId="77777777" w:rsidTr="001444F0">
        <w:tc>
          <w:tcPr>
            <w:tcW w:w="2160" w:type="dxa"/>
          </w:tcPr>
          <w:p w14:paraId="38167101" w14:textId="77777777" w:rsidR="005A3874" w:rsidRPr="00C316F8" w:rsidRDefault="005A3874" w:rsidP="003B711F">
            <w:pPr>
              <w:jc w:val="both"/>
              <w:rPr>
                <w:rFonts w:cstheme="minorHAnsi"/>
                <w:sz w:val="24"/>
                <w:szCs w:val="24"/>
              </w:rPr>
            </w:pPr>
            <w:r w:rsidRPr="00C316F8">
              <w:rPr>
                <w:rFonts w:cstheme="minorHAnsi"/>
                <w:sz w:val="24"/>
                <w:szCs w:val="24"/>
              </w:rPr>
              <w:t>Tercera</w:t>
            </w:r>
          </w:p>
        </w:tc>
        <w:tc>
          <w:tcPr>
            <w:tcW w:w="2160" w:type="dxa"/>
          </w:tcPr>
          <w:p w14:paraId="4FFA1046" w14:textId="77777777" w:rsidR="005A3874" w:rsidRPr="00C316F8" w:rsidRDefault="005A3874" w:rsidP="003B711F">
            <w:pPr>
              <w:jc w:val="both"/>
              <w:rPr>
                <w:rFonts w:cstheme="minorHAnsi"/>
                <w:sz w:val="24"/>
                <w:szCs w:val="24"/>
              </w:rPr>
            </w:pPr>
            <w:r w:rsidRPr="00C316F8">
              <w:rPr>
                <w:rFonts w:cstheme="minorHAnsi"/>
                <w:sz w:val="24"/>
                <w:szCs w:val="24"/>
              </w:rPr>
              <w:t>30.001 - 50.000</w:t>
            </w:r>
          </w:p>
        </w:tc>
        <w:tc>
          <w:tcPr>
            <w:tcW w:w="2160" w:type="dxa"/>
          </w:tcPr>
          <w:p w14:paraId="474F3043" w14:textId="77777777" w:rsidR="005A3874" w:rsidRPr="00C316F8" w:rsidRDefault="005A3874" w:rsidP="003B711F">
            <w:pPr>
              <w:jc w:val="both"/>
              <w:rPr>
                <w:rFonts w:cstheme="minorHAnsi"/>
                <w:sz w:val="24"/>
                <w:szCs w:val="24"/>
              </w:rPr>
            </w:pPr>
            <w:r w:rsidRPr="00C316F8">
              <w:rPr>
                <w:rFonts w:cstheme="minorHAnsi"/>
                <w:sz w:val="24"/>
                <w:szCs w:val="24"/>
              </w:rPr>
              <w:t>30.000 - 50.000</w:t>
            </w:r>
          </w:p>
        </w:tc>
        <w:tc>
          <w:tcPr>
            <w:tcW w:w="2160" w:type="dxa"/>
          </w:tcPr>
          <w:p w14:paraId="43FB4438" w14:textId="77777777" w:rsidR="005A3874" w:rsidRPr="00C316F8" w:rsidRDefault="005A3874" w:rsidP="003B711F">
            <w:pPr>
              <w:jc w:val="both"/>
              <w:rPr>
                <w:rFonts w:cstheme="minorHAnsi"/>
                <w:sz w:val="24"/>
                <w:szCs w:val="24"/>
              </w:rPr>
            </w:pPr>
            <w:r w:rsidRPr="00C316F8">
              <w:rPr>
                <w:rFonts w:cstheme="minorHAnsi"/>
                <w:sz w:val="24"/>
                <w:szCs w:val="24"/>
              </w:rPr>
              <w:t>Municipios intermedios</w:t>
            </w:r>
          </w:p>
        </w:tc>
      </w:tr>
      <w:tr w:rsidR="005A3874" w:rsidRPr="00C316F8" w14:paraId="7F65BFD6" w14:textId="77777777" w:rsidTr="001444F0">
        <w:tc>
          <w:tcPr>
            <w:tcW w:w="2160" w:type="dxa"/>
          </w:tcPr>
          <w:p w14:paraId="370B8048" w14:textId="77777777" w:rsidR="005A3874" w:rsidRPr="00C316F8" w:rsidRDefault="005A3874" w:rsidP="003B711F">
            <w:pPr>
              <w:jc w:val="both"/>
              <w:rPr>
                <w:rFonts w:cstheme="minorHAnsi"/>
                <w:sz w:val="24"/>
                <w:szCs w:val="24"/>
              </w:rPr>
            </w:pPr>
            <w:r w:rsidRPr="00C316F8">
              <w:rPr>
                <w:rFonts w:cstheme="minorHAnsi"/>
                <w:sz w:val="24"/>
                <w:szCs w:val="24"/>
              </w:rPr>
              <w:t>Cuarta</w:t>
            </w:r>
          </w:p>
        </w:tc>
        <w:tc>
          <w:tcPr>
            <w:tcW w:w="2160" w:type="dxa"/>
          </w:tcPr>
          <w:p w14:paraId="4F45154F" w14:textId="77777777" w:rsidR="005A3874" w:rsidRPr="00C316F8" w:rsidRDefault="005A3874" w:rsidP="003B711F">
            <w:pPr>
              <w:jc w:val="both"/>
              <w:rPr>
                <w:rFonts w:cstheme="minorHAnsi"/>
                <w:sz w:val="24"/>
                <w:szCs w:val="24"/>
              </w:rPr>
            </w:pPr>
            <w:r w:rsidRPr="00C316F8">
              <w:rPr>
                <w:rFonts w:cstheme="minorHAnsi"/>
                <w:sz w:val="24"/>
                <w:szCs w:val="24"/>
              </w:rPr>
              <w:t>20.001 - 30.000</w:t>
            </w:r>
          </w:p>
        </w:tc>
        <w:tc>
          <w:tcPr>
            <w:tcW w:w="2160" w:type="dxa"/>
          </w:tcPr>
          <w:p w14:paraId="284F58A8" w14:textId="77777777" w:rsidR="005A3874" w:rsidRPr="00C316F8" w:rsidRDefault="005A3874" w:rsidP="003B711F">
            <w:pPr>
              <w:jc w:val="both"/>
              <w:rPr>
                <w:rFonts w:cstheme="minorHAnsi"/>
                <w:sz w:val="24"/>
                <w:szCs w:val="24"/>
              </w:rPr>
            </w:pPr>
            <w:r w:rsidRPr="00C316F8">
              <w:rPr>
                <w:rFonts w:cstheme="minorHAnsi"/>
                <w:sz w:val="24"/>
                <w:szCs w:val="24"/>
              </w:rPr>
              <w:t>25.000 - 30.000</w:t>
            </w:r>
          </w:p>
        </w:tc>
        <w:tc>
          <w:tcPr>
            <w:tcW w:w="2160" w:type="dxa"/>
          </w:tcPr>
          <w:p w14:paraId="07090086" w14:textId="77777777" w:rsidR="005A3874" w:rsidRPr="00C316F8" w:rsidRDefault="005A3874" w:rsidP="003B711F">
            <w:pPr>
              <w:jc w:val="both"/>
              <w:rPr>
                <w:rFonts w:cstheme="minorHAnsi"/>
                <w:sz w:val="24"/>
                <w:szCs w:val="24"/>
              </w:rPr>
            </w:pPr>
            <w:r w:rsidRPr="00C316F8">
              <w:rPr>
                <w:rFonts w:cstheme="minorHAnsi"/>
                <w:sz w:val="24"/>
                <w:szCs w:val="24"/>
              </w:rPr>
              <w:t>Municipios intermedios</w:t>
            </w:r>
          </w:p>
        </w:tc>
      </w:tr>
      <w:tr w:rsidR="005A3874" w:rsidRPr="00C316F8" w14:paraId="4DFF5984" w14:textId="77777777" w:rsidTr="001444F0">
        <w:tc>
          <w:tcPr>
            <w:tcW w:w="2160" w:type="dxa"/>
          </w:tcPr>
          <w:p w14:paraId="7D7D668E" w14:textId="77777777" w:rsidR="005A3874" w:rsidRPr="00C316F8" w:rsidRDefault="005A3874" w:rsidP="003B711F">
            <w:pPr>
              <w:jc w:val="both"/>
              <w:rPr>
                <w:rFonts w:cstheme="minorHAnsi"/>
                <w:sz w:val="24"/>
                <w:szCs w:val="24"/>
              </w:rPr>
            </w:pPr>
            <w:r w:rsidRPr="00C316F8">
              <w:rPr>
                <w:rFonts w:cstheme="minorHAnsi"/>
                <w:sz w:val="24"/>
                <w:szCs w:val="24"/>
              </w:rPr>
              <w:t>Quinta</w:t>
            </w:r>
          </w:p>
        </w:tc>
        <w:tc>
          <w:tcPr>
            <w:tcW w:w="2160" w:type="dxa"/>
          </w:tcPr>
          <w:p w14:paraId="4ED4527E" w14:textId="77777777" w:rsidR="005A3874" w:rsidRPr="00C316F8" w:rsidRDefault="005A3874" w:rsidP="003B711F">
            <w:pPr>
              <w:jc w:val="both"/>
              <w:rPr>
                <w:rFonts w:cstheme="minorHAnsi"/>
                <w:sz w:val="24"/>
                <w:szCs w:val="24"/>
              </w:rPr>
            </w:pPr>
            <w:r w:rsidRPr="00C316F8">
              <w:rPr>
                <w:rFonts w:cstheme="minorHAnsi"/>
                <w:sz w:val="24"/>
                <w:szCs w:val="24"/>
              </w:rPr>
              <w:t>10.001 - 20.000</w:t>
            </w:r>
          </w:p>
        </w:tc>
        <w:tc>
          <w:tcPr>
            <w:tcW w:w="2160" w:type="dxa"/>
          </w:tcPr>
          <w:p w14:paraId="426D7DD2" w14:textId="77777777" w:rsidR="005A3874" w:rsidRPr="00C316F8" w:rsidRDefault="005A3874" w:rsidP="003B711F">
            <w:pPr>
              <w:jc w:val="both"/>
              <w:rPr>
                <w:rFonts w:cstheme="minorHAnsi"/>
                <w:sz w:val="24"/>
                <w:szCs w:val="24"/>
              </w:rPr>
            </w:pPr>
            <w:r w:rsidRPr="00C316F8">
              <w:rPr>
                <w:rFonts w:cstheme="minorHAnsi"/>
                <w:sz w:val="24"/>
                <w:szCs w:val="24"/>
              </w:rPr>
              <w:t>15.000 - 25.000</w:t>
            </w:r>
          </w:p>
        </w:tc>
        <w:tc>
          <w:tcPr>
            <w:tcW w:w="2160" w:type="dxa"/>
          </w:tcPr>
          <w:p w14:paraId="7D80B727" w14:textId="77777777" w:rsidR="005A3874" w:rsidRPr="00C316F8" w:rsidRDefault="005A3874" w:rsidP="003B711F">
            <w:pPr>
              <w:jc w:val="both"/>
              <w:rPr>
                <w:rFonts w:cstheme="minorHAnsi"/>
                <w:sz w:val="24"/>
                <w:szCs w:val="24"/>
              </w:rPr>
            </w:pPr>
            <w:r w:rsidRPr="00C316F8">
              <w:rPr>
                <w:rFonts w:cstheme="minorHAnsi"/>
                <w:sz w:val="24"/>
                <w:szCs w:val="24"/>
              </w:rPr>
              <w:t>Municipios básicos</w:t>
            </w:r>
          </w:p>
        </w:tc>
      </w:tr>
      <w:tr w:rsidR="005A3874" w:rsidRPr="00C316F8" w14:paraId="14ED0D99" w14:textId="77777777" w:rsidTr="001444F0">
        <w:tc>
          <w:tcPr>
            <w:tcW w:w="2160" w:type="dxa"/>
          </w:tcPr>
          <w:p w14:paraId="5819EAA7" w14:textId="77777777" w:rsidR="005A3874" w:rsidRPr="00C316F8" w:rsidRDefault="005A3874" w:rsidP="003B711F">
            <w:pPr>
              <w:jc w:val="both"/>
              <w:rPr>
                <w:rFonts w:cstheme="minorHAnsi"/>
                <w:sz w:val="24"/>
                <w:szCs w:val="24"/>
              </w:rPr>
            </w:pPr>
            <w:r w:rsidRPr="00C316F8">
              <w:rPr>
                <w:rFonts w:cstheme="minorHAnsi"/>
                <w:sz w:val="24"/>
                <w:szCs w:val="24"/>
              </w:rPr>
              <w:t>Sexta</w:t>
            </w:r>
          </w:p>
        </w:tc>
        <w:tc>
          <w:tcPr>
            <w:tcW w:w="2160" w:type="dxa"/>
          </w:tcPr>
          <w:p w14:paraId="754BF05E" w14:textId="77777777" w:rsidR="005A3874" w:rsidRPr="00C316F8" w:rsidRDefault="005A3874" w:rsidP="003B711F">
            <w:pPr>
              <w:jc w:val="both"/>
              <w:rPr>
                <w:rFonts w:cstheme="minorHAnsi"/>
                <w:sz w:val="24"/>
                <w:szCs w:val="24"/>
              </w:rPr>
            </w:pPr>
            <w:r w:rsidRPr="00C316F8">
              <w:rPr>
                <w:rFonts w:cstheme="minorHAnsi"/>
                <w:sz w:val="24"/>
                <w:szCs w:val="24"/>
              </w:rPr>
              <w:t>&lt;= 10.000</w:t>
            </w:r>
          </w:p>
        </w:tc>
        <w:tc>
          <w:tcPr>
            <w:tcW w:w="2160" w:type="dxa"/>
          </w:tcPr>
          <w:p w14:paraId="7D512EF8" w14:textId="77777777" w:rsidR="005A3874" w:rsidRPr="00C316F8" w:rsidRDefault="005A3874" w:rsidP="003B711F">
            <w:pPr>
              <w:jc w:val="both"/>
              <w:rPr>
                <w:rFonts w:cstheme="minorHAnsi"/>
                <w:sz w:val="24"/>
                <w:szCs w:val="24"/>
              </w:rPr>
            </w:pPr>
            <w:r w:rsidRPr="00C316F8">
              <w:rPr>
                <w:rFonts w:cstheme="minorHAnsi"/>
                <w:sz w:val="24"/>
                <w:szCs w:val="24"/>
              </w:rPr>
              <w:t>&lt;= 15.000</w:t>
            </w:r>
          </w:p>
        </w:tc>
        <w:tc>
          <w:tcPr>
            <w:tcW w:w="2160" w:type="dxa"/>
          </w:tcPr>
          <w:p w14:paraId="2E83E4CB" w14:textId="77777777" w:rsidR="005A3874" w:rsidRPr="00C316F8" w:rsidRDefault="005A3874" w:rsidP="003B711F">
            <w:pPr>
              <w:jc w:val="both"/>
              <w:rPr>
                <w:rFonts w:cstheme="minorHAnsi"/>
                <w:sz w:val="24"/>
                <w:szCs w:val="24"/>
              </w:rPr>
            </w:pPr>
            <w:r w:rsidRPr="00C316F8">
              <w:rPr>
                <w:rFonts w:cstheme="minorHAnsi"/>
                <w:sz w:val="24"/>
                <w:szCs w:val="24"/>
              </w:rPr>
              <w:t>Municipios básicos</w:t>
            </w:r>
          </w:p>
        </w:tc>
      </w:tr>
    </w:tbl>
    <w:p w14:paraId="170F4C19" w14:textId="77777777" w:rsidR="009C39AF" w:rsidRPr="00C316F8" w:rsidRDefault="009C39AF" w:rsidP="003B711F">
      <w:pPr>
        <w:jc w:val="both"/>
        <w:rPr>
          <w:rFonts w:cstheme="minorHAnsi"/>
          <w:bCs/>
          <w:sz w:val="24"/>
          <w:szCs w:val="24"/>
          <w:lang w:val="es-CO"/>
        </w:rPr>
      </w:pPr>
    </w:p>
    <w:p w14:paraId="4298F7DE" w14:textId="676F633C" w:rsidR="003D02F7" w:rsidRPr="00C316F8" w:rsidRDefault="007941BC" w:rsidP="007941BC">
      <w:pPr>
        <w:pStyle w:val="Ttulo2"/>
      </w:pPr>
      <w:bookmarkStart w:id="26" w:name="_Toc229834642"/>
      <w:r w:rsidRPr="00C316F8">
        <w:t>3.3.2</w:t>
      </w:r>
      <w:r w:rsidRPr="00C316F8">
        <w:tab/>
      </w:r>
      <w:r w:rsidR="001114E2" w:rsidRPr="00C316F8">
        <w:t xml:space="preserve">Factores </w:t>
      </w:r>
      <w:r w:rsidR="006474FC" w:rsidRPr="00C316F8">
        <w:t>s</w:t>
      </w:r>
      <w:r w:rsidR="001114E2" w:rsidRPr="00C316F8">
        <w:t>ocial y sanitario en Colombia</w:t>
      </w:r>
      <w:bookmarkEnd w:id="26"/>
    </w:p>
    <w:p w14:paraId="2E008FE7" w14:textId="77777777" w:rsidR="007941BC" w:rsidRPr="00C316F8" w:rsidRDefault="007941BC" w:rsidP="007941BC">
      <w:pPr>
        <w:rPr>
          <w:lang w:val="es-CO"/>
        </w:rPr>
      </w:pPr>
    </w:p>
    <w:p w14:paraId="566D9E96" w14:textId="68C7B5D5" w:rsidR="00825C12" w:rsidRPr="00C316F8" w:rsidRDefault="00825C12" w:rsidP="003B711F">
      <w:pPr>
        <w:jc w:val="both"/>
        <w:rPr>
          <w:rFonts w:cstheme="minorHAnsi"/>
          <w:sz w:val="24"/>
          <w:szCs w:val="24"/>
          <w:lang w:val="es-CO"/>
        </w:rPr>
      </w:pPr>
      <w:r w:rsidRPr="00C316F8">
        <w:rPr>
          <w:rFonts w:cstheme="minorHAnsi"/>
          <w:sz w:val="24"/>
          <w:szCs w:val="24"/>
          <w:lang w:val="es-CO"/>
        </w:rPr>
        <w:t xml:space="preserve">El artículo "COVID-19 Response in Colombia: Hits and Misses" </w:t>
      </w:r>
      <w:r w:rsidRPr="00C316F8">
        <w:rPr>
          <w:rFonts w:cstheme="minorHAnsi"/>
          <w:sz w:val="24"/>
          <w:szCs w:val="24"/>
          <w:lang w:val="es-CO"/>
        </w:rPr>
        <w:fldChar w:fldCharType="begin"/>
      </w:r>
      <w:r w:rsidR="00CF09B7" w:rsidRPr="00C316F8">
        <w:rPr>
          <w:rFonts w:cstheme="minorHAnsi"/>
          <w:sz w:val="24"/>
          <w:szCs w:val="24"/>
          <w:lang w:val="es-CO"/>
        </w:rPr>
        <w:instrText xml:space="preserve"> ADDIN ZOTERO_ITEM CSL_CITATION {"citationID":"hgR9Z3M8","properties":{"formattedCitation":"(51)","plainCitation":"(51)","noteIndex":0},"citationItems":[{"id":1480,"uris":["http://zotero.org/users/5785509/items/T232EEP7"],"itemData":{"id":1480,"type":"article-journal","container-title":"Health Policy and Technology","DOI":"10.1016/j.hlpt.2022.100621","ISSN":"22118837","issue":"2","journalAbbreviation":"Health Policy and Technology","language":"en","page":"100621","source":"DOI.org (Crossref)","title":"COVID-19 response in Colombia: Hits and misses","title-short":"COVID-19 response in Colombia","URL":"https://linkinghub.elsevier.com/retrieve/pii/S2211883722000272","volume":"11","author":[{"family":"Prada","given":"Sergio I."},{"family":"Garcia-Garcia","given":"Maria Paula"},{"family":"Guzman","given":"Javier"}],"accessed":{"date-parts":[["2024",4,7]]},"issued":{"date-parts":[["2022",6]]}}}],"schema":"https://github.com/citation-style-language/schema/raw/master/csl-citation.json"} </w:instrText>
      </w:r>
      <w:r w:rsidRPr="00C316F8">
        <w:rPr>
          <w:rFonts w:cstheme="minorHAnsi"/>
          <w:sz w:val="24"/>
          <w:szCs w:val="24"/>
          <w:lang w:val="es-CO"/>
        </w:rPr>
        <w:fldChar w:fldCharType="separate"/>
      </w:r>
      <w:r w:rsidR="00CF09B7" w:rsidRPr="00C316F8">
        <w:rPr>
          <w:rFonts w:ascii="Calibri" w:hAnsi="Calibri" w:cs="Calibri"/>
          <w:sz w:val="24"/>
          <w:lang w:val="es-CO"/>
        </w:rPr>
        <w:t>(51)</w:t>
      </w:r>
      <w:r w:rsidRPr="00C316F8">
        <w:rPr>
          <w:rFonts w:cstheme="minorHAnsi"/>
          <w:sz w:val="24"/>
          <w:szCs w:val="24"/>
          <w:lang w:val="es-CO"/>
        </w:rPr>
        <w:fldChar w:fldCharType="end"/>
      </w:r>
      <w:r w:rsidRPr="00C316F8">
        <w:rPr>
          <w:rFonts w:cstheme="minorHAnsi"/>
          <w:sz w:val="24"/>
          <w:szCs w:val="24"/>
          <w:lang w:val="es-CO"/>
        </w:rPr>
        <w:t>, publicado en Health Policy and Technology, presenta una evaluación crítica de las políticas implementadas por el gobierno colombiano frente a la pandemia de COVID-19. Basado en un análisis cronológico descriptivo con datos secundarios públicos recopilados entre marzo de 2020 y febrero de 2022, el estudio examina el desempeño estatal en cuatro áreas clave, destacando tanto los aciertos como las deficiencias.</w:t>
      </w:r>
    </w:p>
    <w:p w14:paraId="4669BD41" w14:textId="58CD8A37" w:rsidR="00825C12" w:rsidRPr="00C316F8" w:rsidRDefault="00825C12" w:rsidP="003B711F">
      <w:pPr>
        <w:jc w:val="both"/>
        <w:rPr>
          <w:rFonts w:cstheme="minorHAnsi"/>
          <w:sz w:val="24"/>
          <w:szCs w:val="24"/>
          <w:lang w:val="es-CO"/>
        </w:rPr>
      </w:pPr>
      <w:r w:rsidRPr="00C316F8">
        <w:rPr>
          <w:rFonts w:cstheme="minorHAnsi"/>
          <w:sz w:val="24"/>
          <w:szCs w:val="24"/>
          <w:lang w:val="es-CO"/>
        </w:rPr>
        <w:t xml:space="preserve">En términos de impacto, Colombia enfrentó una mortalidad acumulada de </w:t>
      </w:r>
      <w:r w:rsidR="00204412" w:rsidRPr="00C316F8">
        <w:rPr>
          <w:rFonts w:cstheme="minorHAnsi"/>
          <w:sz w:val="24"/>
          <w:szCs w:val="24"/>
          <w:lang w:val="es-CO"/>
        </w:rPr>
        <w:t>276,8</w:t>
      </w:r>
      <w:r w:rsidRPr="00C316F8">
        <w:rPr>
          <w:rFonts w:cstheme="minorHAnsi"/>
          <w:sz w:val="24"/>
          <w:szCs w:val="24"/>
          <w:lang w:val="es-CO"/>
        </w:rPr>
        <w:t xml:space="preserve"> muertes por cada 100,000 habitantes y una contracción del 7% del PIB en 2020 </w:t>
      </w:r>
      <w:r w:rsidRPr="00C316F8">
        <w:rPr>
          <w:rFonts w:cstheme="minorHAnsi"/>
          <w:sz w:val="24"/>
          <w:szCs w:val="24"/>
          <w:lang w:val="es-CO"/>
        </w:rPr>
        <w:fldChar w:fldCharType="begin"/>
      </w:r>
      <w:r w:rsidR="00CF09B7" w:rsidRPr="00C316F8">
        <w:rPr>
          <w:rFonts w:cstheme="minorHAnsi"/>
          <w:sz w:val="24"/>
          <w:szCs w:val="24"/>
          <w:lang w:val="es-CO"/>
        </w:rPr>
        <w:instrText xml:space="preserve"> ADDIN ZOTERO_ITEM CSL_CITATION {"citationID":"I04DAo3H","properties":{"formattedCitation":"(51)","plainCitation":"(51)","noteIndex":0},"citationItems":[{"id":1480,"uris":["http://zotero.org/users/5785509/items/T232EEP7"],"itemData":{"id":1480,"type":"article-journal","container-title":"Health Policy and Technology","DOI":"10.1016/j.hlpt.2022.100621","ISSN":"22118837","issue":"2","journalAbbreviation":"Health Policy and Technology","language":"en","page":"100621","source":"DOI.org (Crossref)","title":"COVID-19 response in Colombia: Hits and misses","title-short":"COVID-19 response in Colombia","URL":"https://linkinghub.elsevier.com/retrieve/pii/S2211883722000272","volume":"11","author":[{"family":"Prada","given":"Sergio I."},{"family":"Garcia-Garcia","given":"Maria Paula"},{"family":"Guzman","given":"Javier"}],"accessed":{"date-parts":[["2024",4,7]]},"issued":{"date-parts":[["2022",6]]}}}],"schema":"https://github.com/citation-style-language/schema/raw/master/csl-citation.json"} </w:instrText>
      </w:r>
      <w:r w:rsidRPr="00C316F8">
        <w:rPr>
          <w:rFonts w:cstheme="minorHAnsi"/>
          <w:sz w:val="24"/>
          <w:szCs w:val="24"/>
          <w:lang w:val="es-CO"/>
        </w:rPr>
        <w:fldChar w:fldCharType="separate"/>
      </w:r>
      <w:r w:rsidR="00CF09B7" w:rsidRPr="00C316F8">
        <w:rPr>
          <w:rFonts w:ascii="Calibri" w:hAnsi="Calibri" w:cs="Calibri"/>
          <w:sz w:val="24"/>
          <w:lang w:val="es-CO"/>
        </w:rPr>
        <w:t>(51)</w:t>
      </w:r>
      <w:r w:rsidRPr="00C316F8">
        <w:rPr>
          <w:rFonts w:cstheme="minorHAnsi"/>
          <w:sz w:val="24"/>
          <w:szCs w:val="24"/>
          <w:lang w:val="es-CO"/>
        </w:rPr>
        <w:fldChar w:fldCharType="end"/>
      </w:r>
      <w:r w:rsidRPr="00C316F8">
        <w:rPr>
          <w:rFonts w:cstheme="minorHAnsi"/>
          <w:sz w:val="24"/>
          <w:szCs w:val="24"/>
          <w:lang w:val="es-CO"/>
        </w:rPr>
        <w:t xml:space="preserve">. Entre los aciertos más relevantes se destaca la implementación temprana del confinamiento nacional y la creación del Puesto de Mando Unificado (PMU) para coordinar decisiones sanitarias. En paralelo, se fortaleció el sistema de salud con un incremento del </w:t>
      </w:r>
      <w:r w:rsidR="00204412" w:rsidRPr="00C316F8">
        <w:rPr>
          <w:rFonts w:cstheme="minorHAnsi"/>
          <w:sz w:val="24"/>
          <w:szCs w:val="24"/>
          <w:lang w:val="es-CO"/>
        </w:rPr>
        <w:t>156,2%</w:t>
      </w:r>
      <w:r w:rsidRPr="00C316F8">
        <w:rPr>
          <w:rFonts w:cstheme="minorHAnsi"/>
          <w:sz w:val="24"/>
          <w:szCs w:val="24"/>
          <w:lang w:val="es-CO"/>
        </w:rPr>
        <w:t xml:space="preserve"> en camas </w:t>
      </w:r>
      <w:r w:rsidR="009B34DD" w:rsidRPr="00C316F8">
        <w:rPr>
          <w:rFonts w:cstheme="minorHAnsi"/>
          <w:sz w:val="24"/>
          <w:szCs w:val="24"/>
          <w:lang w:val="es-CO"/>
        </w:rPr>
        <w:t>de unidades de cuidado intensivo (</w:t>
      </w:r>
      <w:r w:rsidRPr="00C316F8">
        <w:rPr>
          <w:rFonts w:cstheme="minorHAnsi"/>
          <w:sz w:val="24"/>
          <w:szCs w:val="24"/>
          <w:lang w:val="es-CO"/>
        </w:rPr>
        <w:t>UCI</w:t>
      </w:r>
      <w:r w:rsidR="009B34DD" w:rsidRPr="00C316F8">
        <w:rPr>
          <w:rFonts w:cstheme="minorHAnsi"/>
          <w:sz w:val="24"/>
          <w:szCs w:val="24"/>
          <w:lang w:val="es-CO"/>
        </w:rPr>
        <w:t>)</w:t>
      </w:r>
      <w:r w:rsidRPr="00C316F8">
        <w:rPr>
          <w:rFonts w:cstheme="minorHAnsi"/>
          <w:sz w:val="24"/>
          <w:szCs w:val="24"/>
          <w:lang w:val="es-CO"/>
        </w:rPr>
        <w:t xml:space="preserve"> por 100,000 habitantes y programas de capacitación acelerada para el personal médico. En el campo de la vacunación, Colombia alcanzó una cobertura del </w:t>
      </w:r>
      <w:r w:rsidR="00204412" w:rsidRPr="00C316F8">
        <w:rPr>
          <w:rFonts w:cstheme="minorHAnsi"/>
          <w:sz w:val="24"/>
          <w:szCs w:val="24"/>
          <w:lang w:val="es-CO"/>
        </w:rPr>
        <w:t>65,1%</w:t>
      </w:r>
      <w:r w:rsidRPr="00C316F8">
        <w:rPr>
          <w:rFonts w:cstheme="minorHAnsi"/>
          <w:sz w:val="24"/>
          <w:szCs w:val="24"/>
          <w:lang w:val="es-CO"/>
        </w:rPr>
        <w:t xml:space="preserve"> de la población con esquema completo, incluyendo migrantes venezolanos, lo que denota un esfuerzo de inclusión en la política pública</w:t>
      </w:r>
      <w:r w:rsidR="00565FC7" w:rsidRPr="00C316F8">
        <w:rPr>
          <w:rFonts w:cstheme="minorHAnsi"/>
          <w:sz w:val="24"/>
          <w:szCs w:val="24"/>
          <w:lang w:val="es-CO"/>
        </w:rPr>
        <w:t>.</w:t>
      </w:r>
      <w:r w:rsidRPr="00C316F8">
        <w:rPr>
          <w:rFonts w:cstheme="minorHAnsi"/>
          <w:sz w:val="24"/>
          <w:szCs w:val="24"/>
          <w:lang w:val="es-CO"/>
        </w:rPr>
        <w:t xml:space="preserve"> </w:t>
      </w:r>
      <w:r w:rsidR="00B83D9D" w:rsidRPr="00C316F8">
        <w:rPr>
          <w:rFonts w:cstheme="minorHAnsi"/>
          <w:sz w:val="24"/>
          <w:szCs w:val="24"/>
          <w:lang w:val="es-CO"/>
        </w:rPr>
        <w:fldChar w:fldCharType="begin"/>
      </w:r>
      <w:r w:rsidR="00CF09B7" w:rsidRPr="00C316F8">
        <w:rPr>
          <w:rFonts w:cstheme="minorHAnsi"/>
          <w:sz w:val="24"/>
          <w:szCs w:val="24"/>
          <w:lang w:val="es-CO"/>
        </w:rPr>
        <w:instrText xml:space="preserve"> ADDIN ZOTERO_ITEM CSL_CITATION {"citationID":"hYhwOasD","properties":{"formattedCitation":"(51)","plainCitation":"(51)","noteIndex":0},"citationItems":[{"id":1480,"uris":["http://zotero.org/users/5785509/items/T232EEP7"],"itemData":{"id":1480,"type":"article-journal","container-title":"Health Policy and Technology","DOI":"10.1016/j.hlpt.2022.100621","ISSN":"22118837","issue":"2","journalAbbreviation":"Health Policy and Technology","language":"en","page":"100621","source":"DOI.org (Crossref)","title":"COVID-19 response in Colombia: Hits and misses","title-short":"COVID-19 response in Colombia","URL":"https://linkinghub.elsevier.com/retrieve/pii/S2211883722000272","volume":"11","author":[{"family":"Prada","given":"Sergio I."},{"family":"Garcia-Garcia","given":"Maria Paula"},{"family":"Guzman","given":"Javier"}],"accessed":{"date-parts":[["2024",4,7]]},"issued":{"date-parts":[["2022",6]]}}}],"schema":"https://github.com/citation-style-language/schema/raw/master/csl-citation.json"} </w:instrText>
      </w:r>
      <w:r w:rsidR="00B83D9D" w:rsidRPr="00C316F8">
        <w:rPr>
          <w:rFonts w:cstheme="minorHAnsi"/>
          <w:sz w:val="24"/>
          <w:szCs w:val="24"/>
          <w:lang w:val="es-CO"/>
        </w:rPr>
        <w:fldChar w:fldCharType="separate"/>
      </w:r>
      <w:r w:rsidR="00CF09B7" w:rsidRPr="00C316F8">
        <w:rPr>
          <w:rFonts w:ascii="Calibri" w:hAnsi="Calibri" w:cs="Calibri"/>
          <w:sz w:val="24"/>
          <w:lang w:val="es-CO"/>
        </w:rPr>
        <w:t>(51)</w:t>
      </w:r>
      <w:r w:rsidR="00B83D9D" w:rsidRPr="00C316F8">
        <w:rPr>
          <w:rFonts w:cstheme="minorHAnsi"/>
          <w:sz w:val="24"/>
          <w:szCs w:val="24"/>
          <w:lang w:val="es-CO"/>
        </w:rPr>
        <w:fldChar w:fldCharType="end"/>
      </w:r>
    </w:p>
    <w:p w14:paraId="288DBC5A" w14:textId="0A091B27" w:rsidR="00825C12" w:rsidRPr="00C316F8" w:rsidRDefault="00825C12" w:rsidP="003B711F">
      <w:pPr>
        <w:jc w:val="both"/>
        <w:rPr>
          <w:rFonts w:cstheme="minorHAnsi"/>
          <w:sz w:val="24"/>
          <w:szCs w:val="24"/>
          <w:lang w:val="es-CO"/>
        </w:rPr>
      </w:pPr>
      <w:r w:rsidRPr="00C316F8">
        <w:rPr>
          <w:rFonts w:cstheme="minorHAnsi"/>
          <w:sz w:val="24"/>
          <w:szCs w:val="24"/>
          <w:lang w:val="es-CO"/>
        </w:rPr>
        <w:t xml:space="preserve">Sin embargo, también se identificaron fallas críticas. Una de ellas fue la propuesta inoportuna de reforma tributaria en abril de 2021, que generó una oleada de protestas sociales y afectó el ritmo del proceso de vacunación. Además, Colombia enfrentó retrasos en la adquisición de vacunas por depender inicialmente del mecanismo COVAX y no </w:t>
      </w:r>
      <w:r w:rsidRPr="00C316F8">
        <w:rPr>
          <w:rFonts w:cstheme="minorHAnsi"/>
          <w:sz w:val="24"/>
          <w:szCs w:val="24"/>
          <w:lang w:val="es-CO"/>
        </w:rPr>
        <w:lastRenderedPageBreak/>
        <w:t xml:space="preserve">asegurar acuerdos bilaterales a tiempo. Finalmente, se registró un fenómeno de hesitancia vacunal, con un </w:t>
      </w:r>
      <w:r w:rsidR="00204412" w:rsidRPr="00C316F8">
        <w:rPr>
          <w:rFonts w:cstheme="minorHAnsi"/>
          <w:sz w:val="24"/>
          <w:szCs w:val="24"/>
          <w:lang w:val="es-CO"/>
        </w:rPr>
        <w:t>3,4%</w:t>
      </w:r>
      <w:r w:rsidRPr="00C316F8">
        <w:rPr>
          <w:rFonts w:cstheme="minorHAnsi"/>
          <w:sz w:val="24"/>
          <w:szCs w:val="24"/>
          <w:lang w:val="es-CO"/>
        </w:rPr>
        <w:t xml:space="preserve"> de la población reacia a vacunarse, principalmente por temor a efectos adversos</w:t>
      </w:r>
      <w:r w:rsidR="00E71EEC" w:rsidRPr="00C316F8">
        <w:rPr>
          <w:rFonts w:cstheme="minorHAnsi"/>
          <w:sz w:val="24"/>
          <w:szCs w:val="24"/>
          <w:lang w:val="es-CO"/>
        </w:rPr>
        <w:t>.</w:t>
      </w:r>
      <w:r w:rsidRPr="00C316F8">
        <w:rPr>
          <w:rFonts w:cstheme="minorHAnsi"/>
          <w:sz w:val="24"/>
          <w:szCs w:val="24"/>
          <w:lang w:val="es-CO"/>
        </w:rPr>
        <w:t xml:space="preserve"> </w:t>
      </w:r>
      <w:r w:rsidR="00B83D9D" w:rsidRPr="00C316F8">
        <w:rPr>
          <w:rFonts w:cstheme="minorHAnsi"/>
          <w:sz w:val="24"/>
          <w:szCs w:val="24"/>
          <w:lang w:val="es-CO"/>
        </w:rPr>
        <w:fldChar w:fldCharType="begin"/>
      </w:r>
      <w:r w:rsidR="00CF09B7" w:rsidRPr="00C316F8">
        <w:rPr>
          <w:rFonts w:cstheme="minorHAnsi"/>
          <w:sz w:val="24"/>
          <w:szCs w:val="24"/>
          <w:lang w:val="es-CO"/>
        </w:rPr>
        <w:instrText xml:space="preserve"> ADDIN ZOTERO_ITEM CSL_CITATION {"citationID":"dTsuTGYd","properties":{"formattedCitation":"(51)","plainCitation":"(51)","noteIndex":0},"citationItems":[{"id":1480,"uris":["http://zotero.org/users/5785509/items/T232EEP7"],"itemData":{"id":1480,"type":"article-journal","container-title":"Health Policy and Technology","DOI":"10.1016/j.hlpt.2022.100621","ISSN":"22118837","issue":"2","journalAbbreviation":"Health Policy and Technology","language":"en","page":"100621","source":"DOI.org (Crossref)","title":"COVID-19 response in Colombia: Hits and misses","title-short":"COVID-19 response in Colombia","URL":"https://linkinghub.elsevier.com/retrieve/pii/S2211883722000272","volume":"11","author":[{"family":"Prada","given":"Sergio I."},{"family":"Garcia-Garcia","given":"Maria Paula"},{"family":"Guzman","given":"Javier"}],"accessed":{"date-parts":[["2024",4,7]]},"issued":{"date-parts":[["2022",6]]}}}],"schema":"https://github.com/citation-style-language/schema/raw/master/csl-citation.json"} </w:instrText>
      </w:r>
      <w:r w:rsidR="00B83D9D" w:rsidRPr="00C316F8">
        <w:rPr>
          <w:rFonts w:cstheme="minorHAnsi"/>
          <w:sz w:val="24"/>
          <w:szCs w:val="24"/>
          <w:lang w:val="es-CO"/>
        </w:rPr>
        <w:fldChar w:fldCharType="separate"/>
      </w:r>
      <w:r w:rsidR="00CF09B7" w:rsidRPr="00C316F8">
        <w:rPr>
          <w:rFonts w:ascii="Calibri" w:hAnsi="Calibri" w:cs="Calibri"/>
          <w:sz w:val="24"/>
          <w:lang w:val="es-CO"/>
        </w:rPr>
        <w:t>(51)</w:t>
      </w:r>
      <w:r w:rsidR="00B83D9D" w:rsidRPr="00C316F8">
        <w:rPr>
          <w:rFonts w:cstheme="minorHAnsi"/>
          <w:sz w:val="24"/>
          <w:szCs w:val="24"/>
          <w:lang w:val="es-CO"/>
        </w:rPr>
        <w:fldChar w:fldCharType="end"/>
      </w:r>
    </w:p>
    <w:p w14:paraId="0AB051DE" w14:textId="341CDB5B" w:rsidR="00464146" w:rsidRPr="00C316F8" w:rsidRDefault="00464146" w:rsidP="003B711F">
      <w:pPr>
        <w:jc w:val="both"/>
        <w:rPr>
          <w:rFonts w:cstheme="minorHAnsi"/>
          <w:sz w:val="24"/>
          <w:szCs w:val="24"/>
          <w:shd w:val="clear" w:color="auto" w:fill="FFFFFF"/>
          <w:lang w:val="es-CO"/>
        </w:rPr>
      </w:pPr>
      <w:r w:rsidRPr="00C316F8">
        <w:rPr>
          <w:rFonts w:cstheme="minorHAnsi"/>
          <w:sz w:val="24"/>
          <w:szCs w:val="24"/>
          <w:shd w:val="clear" w:color="auto" w:fill="FFFFFF"/>
          <w:lang w:val="es-CO"/>
        </w:rPr>
        <w:t xml:space="preserve">Colombia </w:t>
      </w:r>
      <w:r w:rsidR="008F40D2" w:rsidRPr="00C316F8">
        <w:rPr>
          <w:rFonts w:cstheme="minorHAnsi"/>
          <w:sz w:val="24"/>
          <w:szCs w:val="24"/>
          <w:shd w:val="clear" w:color="auto" w:fill="FFFFFF"/>
          <w:lang w:val="es-CO"/>
        </w:rPr>
        <w:t>realiz</w:t>
      </w:r>
      <w:r w:rsidR="0093045A" w:rsidRPr="00C316F8">
        <w:rPr>
          <w:rFonts w:cstheme="minorHAnsi"/>
          <w:sz w:val="24"/>
          <w:szCs w:val="24"/>
          <w:shd w:val="clear" w:color="auto" w:fill="FFFFFF"/>
          <w:lang w:val="es-CO"/>
        </w:rPr>
        <w:t>ó</w:t>
      </w:r>
      <w:r w:rsidRPr="00C316F8">
        <w:rPr>
          <w:rFonts w:cstheme="minorHAnsi"/>
          <w:sz w:val="24"/>
          <w:szCs w:val="24"/>
          <w:shd w:val="clear" w:color="auto" w:fill="FFFFFF"/>
          <w:lang w:val="es-CO"/>
        </w:rPr>
        <w:t xml:space="preserve"> esfuerzos en política monetaria ante la crisis desencadenada por el COVID-19</w:t>
      </w:r>
      <w:r w:rsidR="008F40D2" w:rsidRPr="00C316F8">
        <w:rPr>
          <w:rFonts w:cstheme="minorHAnsi"/>
          <w:sz w:val="24"/>
          <w:szCs w:val="24"/>
          <w:shd w:val="clear" w:color="auto" w:fill="FFFFFF"/>
          <w:lang w:val="es-CO"/>
        </w:rPr>
        <w:t xml:space="preserve"> y</w:t>
      </w:r>
      <w:r w:rsidRPr="00C316F8">
        <w:rPr>
          <w:rFonts w:cstheme="minorHAnsi"/>
          <w:sz w:val="24"/>
          <w:szCs w:val="24"/>
          <w:shd w:val="clear" w:color="auto" w:fill="FFFFFF"/>
          <w:lang w:val="es-CO"/>
        </w:rPr>
        <w:t xml:space="preserve"> logr</w:t>
      </w:r>
      <w:r w:rsidR="008F40D2" w:rsidRPr="00C316F8">
        <w:rPr>
          <w:rFonts w:cstheme="minorHAnsi"/>
          <w:sz w:val="24"/>
          <w:szCs w:val="24"/>
          <w:shd w:val="clear" w:color="auto" w:fill="FFFFFF"/>
          <w:lang w:val="es-CO"/>
        </w:rPr>
        <w:t>ó</w:t>
      </w:r>
      <w:r w:rsidRPr="00C316F8">
        <w:rPr>
          <w:rFonts w:cstheme="minorHAnsi"/>
          <w:sz w:val="24"/>
          <w:szCs w:val="24"/>
          <w:shd w:val="clear" w:color="auto" w:fill="FFFFFF"/>
          <w:lang w:val="es-CO"/>
        </w:rPr>
        <w:t xml:space="preserve"> crear programas sociales que </w:t>
      </w:r>
      <w:r w:rsidR="0093045A" w:rsidRPr="00C316F8">
        <w:rPr>
          <w:rFonts w:cstheme="minorHAnsi"/>
          <w:sz w:val="24"/>
          <w:szCs w:val="24"/>
          <w:shd w:val="clear" w:color="auto" w:fill="FFFFFF"/>
          <w:lang w:val="es-CO"/>
        </w:rPr>
        <w:t>protegieron</w:t>
      </w:r>
      <w:r w:rsidRPr="00C316F8">
        <w:rPr>
          <w:rFonts w:cstheme="minorHAnsi"/>
          <w:sz w:val="24"/>
          <w:szCs w:val="24"/>
          <w:shd w:val="clear" w:color="auto" w:fill="FFFFFF"/>
          <w:lang w:val="es-CO"/>
        </w:rPr>
        <w:t xml:space="preserve"> a personas de la pobreza. La regla fiscal se suspendió durante 2020 y 2021 para proporcionar ayudas fiscales. La deuda pública </w:t>
      </w:r>
      <w:r w:rsidR="00A1785F" w:rsidRPr="00C316F8">
        <w:rPr>
          <w:rFonts w:cstheme="minorHAnsi"/>
          <w:sz w:val="24"/>
          <w:szCs w:val="24"/>
          <w:shd w:val="clear" w:color="auto" w:fill="FFFFFF"/>
          <w:lang w:val="es-CO"/>
        </w:rPr>
        <w:t>aumentó</w:t>
      </w:r>
      <w:r w:rsidRPr="00C316F8">
        <w:rPr>
          <w:rFonts w:cstheme="minorHAnsi"/>
          <w:sz w:val="24"/>
          <w:szCs w:val="24"/>
          <w:shd w:val="clear" w:color="auto" w:fill="FFFFFF"/>
          <w:lang w:val="es-CO"/>
        </w:rPr>
        <w:t xml:space="preserve"> en </w:t>
      </w:r>
      <w:r w:rsidR="00204412" w:rsidRPr="00C316F8">
        <w:rPr>
          <w:rFonts w:cstheme="minorHAnsi"/>
          <w:sz w:val="24"/>
          <w:szCs w:val="24"/>
          <w:shd w:val="clear" w:color="auto" w:fill="FFFFFF"/>
          <w:lang w:val="es-CO"/>
        </w:rPr>
        <w:t>13,5</w:t>
      </w:r>
      <w:r w:rsidRPr="00C316F8">
        <w:rPr>
          <w:rFonts w:cstheme="minorHAnsi"/>
          <w:sz w:val="24"/>
          <w:szCs w:val="24"/>
          <w:shd w:val="clear" w:color="auto" w:fill="FFFFFF"/>
          <w:lang w:val="es-CO"/>
        </w:rPr>
        <w:t xml:space="preserve"> puntos porcentuales del PIB y los costos de financiamiento también </w:t>
      </w:r>
      <w:r w:rsidR="00A1785F" w:rsidRPr="00C316F8">
        <w:rPr>
          <w:rFonts w:cstheme="minorHAnsi"/>
          <w:sz w:val="24"/>
          <w:szCs w:val="24"/>
          <w:shd w:val="clear" w:color="auto" w:fill="FFFFFF"/>
          <w:lang w:val="es-CO"/>
        </w:rPr>
        <w:t>aumentaron</w:t>
      </w:r>
      <w:r w:rsidRPr="00C316F8">
        <w:rPr>
          <w:rFonts w:cstheme="minorHAnsi"/>
          <w:sz w:val="24"/>
          <w:szCs w:val="24"/>
          <w:shd w:val="clear" w:color="auto" w:fill="FFFFFF"/>
          <w:lang w:val="es-CO"/>
        </w:rPr>
        <w:t xml:space="preserve">. Los ingresos fiscales, que se </w:t>
      </w:r>
      <w:r w:rsidR="007672BA" w:rsidRPr="00C316F8">
        <w:rPr>
          <w:rFonts w:cstheme="minorHAnsi"/>
          <w:sz w:val="24"/>
          <w:szCs w:val="24"/>
          <w:shd w:val="clear" w:color="auto" w:fill="FFFFFF"/>
          <w:lang w:val="es-CO"/>
        </w:rPr>
        <w:t xml:space="preserve">situaron </w:t>
      </w:r>
      <w:r w:rsidRPr="00C316F8">
        <w:rPr>
          <w:rFonts w:cstheme="minorHAnsi"/>
          <w:sz w:val="24"/>
          <w:szCs w:val="24"/>
          <w:shd w:val="clear" w:color="auto" w:fill="FFFFFF"/>
          <w:lang w:val="es-CO"/>
        </w:rPr>
        <w:t>tan solo en el 20% del PIB, no son suficientes para satisfacer las demandas sociales y preservar la necesaria inversión pública en infraestructura, salud y educación</w:t>
      </w:r>
      <w:r w:rsidR="00E71EEC" w:rsidRPr="00C316F8">
        <w:rPr>
          <w:rFonts w:cstheme="minorHAnsi"/>
          <w:sz w:val="24"/>
          <w:szCs w:val="24"/>
          <w:shd w:val="clear" w:color="auto" w:fill="FFFFFF"/>
          <w:lang w:val="es-CO"/>
        </w:rPr>
        <w:t>.</w:t>
      </w:r>
      <w:r w:rsidRPr="00C316F8">
        <w:rPr>
          <w:rFonts w:cstheme="minorHAnsi"/>
          <w:sz w:val="24"/>
          <w:szCs w:val="24"/>
          <w:shd w:val="clear" w:color="auto" w:fill="FFFFFF"/>
          <w:lang w:val="es-CO"/>
        </w:rPr>
        <w:t xml:space="preserve"> </w:t>
      </w:r>
      <w:r w:rsidRPr="00C316F8">
        <w:rPr>
          <w:rFonts w:cstheme="minorHAnsi"/>
          <w:sz w:val="24"/>
          <w:szCs w:val="24"/>
          <w:shd w:val="clear" w:color="auto" w:fill="FFFFFF"/>
        </w:rPr>
        <w:fldChar w:fldCharType="begin"/>
      </w:r>
      <w:r w:rsidR="00CF09B7" w:rsidRPr="00C316F8">
        <w:rPr>
          <w:rFonts w:cstheme="minorHAnsi"/>
          <w:sz w:val="24"/>
          <w:szCs w:val="24"/>
          <w:shd w:val="clear" w:color="auto" w:fill="FFFFFF"/>
          <w:lang w:val="es-CO"/>
        </w:rPr>
        <w:instrText xml:space="preserve"> ADDIN ZOTERO_ITEM CSL_CITATION {"citationID":"TU9UTcSG","properties":{"formattedCitation":"(52)","plainCitation":"(52)","noteIndex":0},"citationItems":[{"id":19,"uris":["http://zotero.org/users/5785509/items/PQ89E2HP"],"itemData":{"id":19,"type":"book","DOI":"10.1787/991f37df-es","ISBN":"978-92-64-75340-2","language":"es","publisher":"OECD","source":"DOI.org (Crossref)","title":"Estudios Económicos de la OCDE: Colombia 2022","title-short":"Estudios Económicos de la OCDE","URL":"https://www.oecd-ilibrary.org/economics/estudios-economicos-de-la-ocde-colombia-2022_991f37df-es","author":[{"literal":"OECD"}],"accessed":{"date-parts":[["2022",3,15]]},"issued":{"date-parts":[["2022",2,10]]}}}],"schema":"https://github.com/citation-style-language/schema/raw/master/csl-citation.json"} </w:instrText>
      </w:r>
      <w:r w:rsidRPr="00C316F8">
        <w:rPr>
          <w:rFonts w:cstheme="minorHAnsi"/>
          <w:sz w:val="24"/>
          <w:szCs w:val="24"/>
          <w:shd w:val="clear" w:color="auto" w:fill="FFFFFF"/>
        </w:rPr>
        <w:fldChar w:fldCharType="separate"/>
      </w:r>
      <w:r w:rsidR="00CF09B7" w:rsidRPr="00C316F8">
        <w:rPr>
          <w:rFonts w:ascii="Calibri" w:hAnsi="Calibri" w:cs="Calibri"/>
          <w:sz w:val="24"/>
          <w:lang w:val="es-CO"/>
        </w:rPr>
        <w:t>(52)</w:t>
      </w:r>
      <w:r w:rsidRPr="00C316F8">
        <w:rPr>
          <w:rFonts w:cstheme="minorHAnsi"/>
          <w:sz w:val="24"/>
          <w:szCs w:val="24"/>
          <w:shd w:val="clear" w:color="auto" w:fill="FFFFFF"/>
        </w:rPr>
        <w:fldChar w:fldCharType="end"/>
      </w:r>
    </w:p>
    <w:p w14:paraId="29415AC9" w14:textId="76AE947A" w:rsidR="00464146" w:rsidRPr="00C316F8" w:rsidRDefault="00A40A8F" w:rsidP="003B711F">
      <w:pPr>
        <w:jc w:val="both"/>
        <w:rPr>
          <w:rFonts w:cstheme="minorHAnsi"/>
          <w:sz w:val="24"/>
          <w:szCs w:val="24"/>
          <w:lang w:val="es-CO"/>
        </w:rPr>
      </w:pPr>
      <w:r w:rsidRPr="00C316F8">
        <w:rPr>
          <w:rFonts w:cstheme="minorHAnsi"/>
          <w:sz w:val="24"/>
          <w:szCs w:val="24"/>
          <w:lang w:val="es-CO"/>
        </w:rPr>
        <w:t>A nivel regional, el país present</w:t>
      </w:r>
      <w:r w:rsidR="004207C9" w:rsidRPr="00C316F8">
        <w:rPr>
          <w:rFonts w:cstheme="minorHAnsi"/>
          <w:sz w:val="24"/>
          <w:szCs w:val="24"/>
          <w:lang w:val="es-CO"/>
        </w:rPr>
        <w:t>ó</w:t>
      </w:r>
      <w:r w:rsidRPr="00C316F8">
        <w:rPr>
          <w:rFonts w:cstheme="minorHAnsi"/>
          <w:sz w:val="24"/>
          <w:szCs w:val="24"/>
          <w:lang w:val="es-CO"/>
        </w:rPr>
        <w:t xml:space="preserve"> algunos de los niveles más altos de pobreza, desigualdad en los ingresos y precariedad laboral en América Latina. Aunque la respuesta institucional frente a la crisis por COVID-19 fue amplia en términos de cobertura, las prestaciones sociales han tenido un impacto limitado en la mitigación de las desigualdades estructurales. Una parte considerable del gasto social no está orientada a los sectores más vulnerables, especialmente en el caso del sistema pensional. Además, más del 60 % de la fuerza laboral se encuentra en condiciones de informalidad, sin acceso a prestaciones de la seguridad social, con excepción de la atención sanitaria básica</w:t>
      </w:r>
      <w:r w:rsidR="00F63BC9" w:rsidRPr="00C316F8">
        <w:rPr>
          <w:rFonts w:cstheme="minorHAnsi"/>
          <w:sz w:val="24"/>
          <w:szCs w:val="24"/>
          <w:lang w:val="es-CO"/>
        </w:rPr>
        <w:t>.</w:t>
      </w:r>
      <w:r w:rsidRPr="00C316F8">
        <w:rPr>
          <w:rFonts w:cstheme="minorHAnsi"/>
          <w:sz w:val="24"/>
          <w:szCs w:val="24"/>
          <w:lang w:val="es-CO"/>
        </w:rPr>
        <w:t xml:space="preserve"> </w:t>
      </w:r>
      <w:r w:rsidR="00464146" w:rsidRPr="00C316F8">
        <w:rPr>
          <w:rFonts w:cstheme="minorHAnsi"/>
          <w:sz w:val="24"/>
          <w:szCs w:val="24"/>
        </w:rPr>
        <w:fldChar w:fldCharType="begin"/>
      </w:r>
      <w:r w:rsidR="00CF09B7" w:rsidRPr="00C316F8">
        <w:rPr>
          <w:rFonts w:cstheme="minorHAnsi"/>
          <w:sz w:val="24"/>
          <w:szCs w:val="24"/>
          <w:lang w:val="es-CO"/>
        </w:rPr>
        <w:instrText xml:space="preserve"> ADDIN ZOTERO_ITEM CSL_CITATION {"citationID":"AmfEXvHx","properties":{"formattedCitation":"(52)","plainCitation":"(52)","noteIndex":0},"citationItems":[{"id":19,"uris":["http://zotero.org/users/5785509/items/PQ89E2HP"],"itemData":{"id":19,"type":"book","DOI":"10.1787/991f37df-es","ISBN":"978-92-64-75340-2","language":"es","publisher":"OECD","source":"DOI.org (Crossref)","title":"Estudios Económicos de la OCDE: Colombia 2022","title-short":"Estudios Económicos de la OCDE","URL":"https://www.oecd-ilibrary.org/economics/estudios-economicos-de-la-ocde-colombia-2022_991f37df-es","author":[{"literal":"OECD"}],"accessed":{"date-parts":[["2022",3,15]]},"issued":{"date-parts":[["2022",2,10]]}}}],"schema":"https://github.com/citation-style-language/schema/raw/master/csl-citation.json"} </w:instrText>
      </w:r>
      <w:r w:rsidR="00464146" w:rsidRPr="00C316F8">
        <w:rPr>
          <w:rFonts w:cstheme="minorHAnsi"/>
          <w:sz w:val="24"/>
          <w:szCs w:val="24"/>
        </w:rPr>
        <w:fldChar w:fldCharType="separate"/>
      </w:r>
      <w:r w:rsidR="00CF09B7" w:rsidRPr="00C316F8">
        <w:rPr>
          <w:rFonts w:ascii="Calibri" w:hAnsi="Calibri" w:cs="Calibri"/>
          <w:sz w:val="24"/>
          <w:lang w:val="es-CO"/>
        </w:rPr>
        <w:t>(52)</w:t>
      </w:r>
      <w:r w:rsidR="00464146" w:rsidRPr="00C316F8">
        <w:rPr>
          <w:rFonts w:cstheme="minorHAnsi"/>
          <w:sz w:val="24"/>
          <w:szCs w:val="24"/>
        </w:rPr>
        <w:fldChar w:fldCharType="end"/>
      </w:r>
    </w:p>
    <w:p w14:paraId="4B44A025" w14:textId="4905441C" w:rsidR="00464146" w:rsidRPr="00C316F8" w:rsidRDefault="00464146" w:rsidP="003B711F">
      <w:pPr>
        <w:jc w:val="both"/>
        <w:rPr>
          <w:rFonts w:cstheme="minorHAnsi"/>
          <w:sz w:val="24"/>
          <w:szCs w:val="24"/>
          <w:lang w:val="es-ES"/>
        </w:rPr>
      </w:pPr>
      <w:r w:rsidRPr="00C316F8">
        <w:rPr>
          <w:rFonts w:cstheme="minorHAnsi"/>
          <w:sz w:val="24"/>
          <w:szCs w:val="24"/>
          <w:lang w:val="es-ES"/>
        </w:rPr>
        <w:t>De acuerdo con Hernández et al., quien realizó una revisión documental del efecto de la pandemia Covid-19 en la economía internacional, Colombia fue uno de los primeros países en seguir las recomendaciones de la OMS así que el 25 de marzo de 2020 declaró las medidas de aislamiento y políticas económicas, de salud y sociales con el fin de disminuir el contagio, adicionalmente, adecuó el sistema hospitalario para adaptarse a la situación</w:t>
      </w:r>
      <w:r w:rsidR="00F63BC9"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F09B7" w:rsidRPr="00C316F8">
        <w:rPr>
          <w:rFonts w:cstheme="minorHAnsi"/>
          <w:sz w:val="24"/>
          <w:szCs w:val="24"/>
          <w:lang w:val="es-ES"/>
        </w:rPr>
        <w:instrText xml:space="preserve"> ADDIN ZOTERO_ITEM CSL_CITATION {"citationID":"g0sTTXjw","properties":{"formattedCitation":"(53)","plainCitation":"(53)","noteIndex":0},"citationItems":[{"id":29,"uris":["http://zotero.org/users/5785509/items/DSKC8STT"],"itemData":{"id":29,"type":"webpage","title":"Vista de COVID-19 in Colombia: repercussions on the economy","URL":"https://aunarcali.edu.co/revistas/index.php/RDCES/article/view/221/151","accessed":{"date-parts":[["2022",2,27]]}}}],"schema":"https://github.com/citation-style-language/schema/raw/master/csl-citation.json"} </w:instrText>
      </w:r>
      <w:r w:rsidRPr="00C316F8">
        <w:rPr>
          <w:rFonts w:cstheme="minorHAnsi"/>
          <w:sz w:val="24"/>
          <w:szCs w:val="24"/>
          <w:lang w:val="es-ES"/>
        </w:rPr>
        <w:fldChar w:fldCharType="separate"/>
      </w:r>
      <w:r w:rsidR="00CF09B7" w:rsidRPr="00C316F8">
        <w:rPr>
          <w:rFonts w:ascii="Calibri" w:hAnsi="Calibri" w:cs="Calibri"/>
          <w:sz w:val="24"/>
          <w:lang w:val="es-CO"/>
        </w:rPr>
        <w:t>(53)</w:t>
      </w:r>
      <w:r w:rsidRPr="00C316F8">
        <w:rPr>
          <w:rFonts w:cstheme="minorHAnsi"/>
          <w:sz w:val="24"/>
          <w:szCs w:val="24"/>
          <w:lang w:val="es-ES"/>
        </w:rPr>
        <w:fldChar w:fldCharType="end"/>
      </w:r>
    </w:p>
    <w:p w14:paraId="22C07E17" w14:textId="57BFD0A2" w:rsidR="00464146" w:rsidRPr="00C316F8" w:rsidRDefault="004453BC" w:rsidP="003B711F">
      <w:pPr>
        <w:jc w:val="both"/>
        <w:rPr>
          <w:rFonts w:cstheme="minorHAnsi"/>
          <w:sz w:val="24"/>
          <w:szCs w:val="24"/>
          <w:lang w:val="es-CO"/>
        </w:rPr>
      </w:pPr>
      <w:r w:rsidRPr="00C316F8">
        <w:rPr>
          <w:rFonts w:cstheme="minorHAnsi"/>
          <w:sz w:val="24"/>
          <w:szCs w:val="24"/>
          <w:lang w:val="es-ES"/>
        </w:rPr>
        <w:t xml:space="preserve">En materia de salud, Colombia adoptó diferentes medidas, entre ellas: declaración de la emergencia sanitaria (27 disposiciones), cuarentena obligatoria (10 medidas), ampliación de la cobertura para exámenes gratuitos (1 medida) y fortalecimiento de hospitales e infraestructura (1 medida) </w:t>
      </w:r>
      <w:r w:rsidR="000B3FC2" w:rsidRPr="00C316F8">
        <w:rPr>
          <w:rFonts w:cstheme="minorHAnsi"/>
          <w:sz w:val="24"/>
          <w:szCs w:val="24"/>
          <w:lang w:val="es-ES"/>
        </w:rPr>
        <w:fldChar w:fldCharType="begin"/>
      </w:r>
      <w:r w:rsidR="00CF09B7" w:rsidRPr="00C316F8">
        <w:rPr>
          <w:rFonts w:cstheme="minorHAnsi"/>
          <w:sz w:val="24"/>
          <w:szCs w:val="24"/>
          <w:lang w:val="es-ES"/>
        </w:rPr>
        <w:instrText xml:space="preserve"> ADDIN ZOTERO_ITEM CSL_CITATION {"citationID":"vYJ2m0nw","properties":{"formattedCitation":"(54)","plainCitation":"(54)","noteIndex":0},"citationItems":[{"id":26,"uris":["http://zotero.org/users/5785509/items/4L4VKNXA"],"itemData":{"id":26,"type":"article-journal","abstract":"Este artículo busca comprender las diferencias y similitudes en las respuestas económicas y de salud adoptadas por los gobiernos de Colombia y Ecuador para hacer frente a la pandemia por Covid-19. Para ello, clasificamos las medidas implementadas y las asociamos a las capacidades fiscales y organizativas en cada país. Los resultados demuestran semejanzas en la implementación de medidas para reducir los impactos negativos sobre el sector empresarial y turístico; mientras que se evidencian grandes contrastes en las medidas de estímulo fiscal, que incluye la renegociación de la deuda externa, y en la distancia temporal para la implementación de medidas sanitarias.","container-title":"Análisis Político","DOI":"10.15446/anpol.v33n100.93362","ISSN":"0121-4705","issue":"100","journalAbbreviation":"Anal. político","page":"72-91","source":"DOI.org (Crossref)","title":"(In) capacidades de política en tiempos de Covid-19: comprendiendo las respuestas económicas de Colombia y Ecuador","title-short":"(In) capacidades de política en tiempos de Covid-19","URL":"https://revistas.unal.edu.co/index.php/anpol/article/view/93362","volume":"33","author":[{"family":"Paz-Gómez","given":"Diana Marcela"},{"family":"Santelices Enríquez","given":"María Caridad"}],"accessed":{"date-parts":[["2022",3,12]]},"issued":{"date-parts":[["2021",2,4]]}}}],"schema":"https://github.com/citation-style-language/schema/raw/master/csl-citation.json"} </w:instrText>
      </w:r>
      <w:r w:rsidR="000B3FC2" w:rsidRPr="00C316F8">
        <w:rPr>
          <w:rFonts w:cstheme="minorHAnsi"/>
          <w:sz w:val="24"/>
          <w:szCs w:val="24"/>
          <w:lang w:val="es-ES"/>
        </w:rPr>
        <w:fldChar w:fldCharType="separate"/>
      </w:r>
      <w:r w:rsidR="00CF09B7" w:rsidRPr="00C316F8">
        <w:rPr>
          <w:rFonts w:ascii="Calibri" w:hAnsi="Calibri" w:cs="Calibri"/>
          <w:sz w:val="24"/>
          <w:lang w:val="es-CO"/>
        </w:rPr>
        <w:t>(54)</w:t>
      </w:r>
      <w:r w:rsidR="000B3FC2" w:rsidRPr="00C316F8">
        <w:rPr>
          <w:rFonts w:cstheme="minorHAnsi"/>
          <w:sz w:val="24"/>
          <w:szCs w:val="24"/>
          <w:lang w:val="es-ES"/>
        </w:rPr>
        <w:fldChar w:fldCharType="end"/>
      </w:r>
      <w:r w:rsidR="001038AE" w:rsidRPr="00C316F8">
        <w:rPr>
          <w:rFonts w:cstheme="minorHAnsi"/>
          <w:sz w:val="24"/>
          <w:szCs w:val="24"/>
          <w:lang w:val="es-ES"/>
        </w:rPr>
        <w:t>.</w:t>
      </w:r>
      <w:r w:rsidR="00464146" w:rsidRPr="00C316F8">
        <w:rPr>
          <w:rFonts w:cstheme="minorHAnsi"/>
          <w:sz w:val="24"/>
          <w:szCs w:val="24"/>
          <w:lang w:val="es-ES"/>
        </w:rPr>
        <w:t xml:space="preserve"> Colombia </w:t>
      </w:r>
      <w:r w:rsidR="00464146" w:rsidRPr="00C316F8">
        <w:rPr>
          <w:rFonts w:cstheme="minorHAnsi"/>
          <w:sz w:val="24"/>
          <w:szCs w:val="24"/>
          <w:lang w:val="es-CO"/>
        </w:rPr>
        <w:t>tom</w:t>
      </w:r>
      <w:r w:rsidR="00365B6B" w:rsidRPr="00C316F8">
        <w:rPr>
          <w:rFonts w:cstheme="minorHAnsi"/>
          <w:sz w:val="24"/>
          <w:szCs w:val="24"/>
          <w:lang w:val="es-CO"/>
        </w:rPr>
        <w:t>ó</w:t>
      </w:r>
      <w:r w:rsidR="00464146" w:rsidRPr="00C316F8">
        <w:rPr>
          <w:rFonts w:cstheme="minorHAnsi"/>
          <w:sz w:val="24"/>
          <w:szCs w:val="24"/>
          <w:lang w:val="es-CO"/>
        </w:rPr>
        <w:t xml:space="preserve"> medidas económicas para tratar de minimizar el impacto </w:t>
      </w:r>
      <w:r w:rsidR="00617E9F" w:rsidRPr="00C316F8">
        <w:rPr>
          <w:rFonts w:cstheme="minorHAnsi"/>
          <w:sz w:val="24"/>
          <w:szCs w:val="24"/>
          <w:lang w:val="es-CO"/>
        </w:rPr>
        <w:t>de</w:t>
      </w:r>
      <w:r w:rsidR="00464146" w:rsidRPr="00C316F8">
        <w:rPr>
          <w:rFonts w:cstheme="minorHAnsi"/>
          <w:sz w:val="24"/>
          <w:szCs w:val="24"/>
          <w:lang w:val="es-CO"/>
        </w:rPr>
        <w:t xml:space="preserve"> la pandemia</w:t>
      </w:r>
      <w:r w:rsidR="00617E9F" w:rsidRPr="00C316F8">
        <w:rPr>
          <w:rFonts w:cstheme="minorHAnsi"/>
          <w:sz w:val="24"/>
          <w:szCs w:val="24"/>
          <w:lang w:val="es-CO"/>
        </w:rPr>
        <w:t>,</w:t>
      </w:r>
      <w:r w:rsidR="00464146" w:rsidRPr="00C316F8">
        <w:rPr>
          <w:rFonts w:cstheme="minorHAnsi"/>
          <w:sz w:val="24"/>
          <w:szCs w:val="24"/>
          <w:lang w:val="es-CO"/>
        </w:rPr>
        <w:t xml:space="preserve"> como se observa en la tabla </w:t>
      </w:r>
      <w:r w:rsidR="00FD4741" w:rsidRPr="00C316F8">
        <w:rPr>
          <w:rFonts w:cstheme="minorHAnsi"/>
          <w:sz w:val="24"/>
          <w:szCs w:val="24"/>
          <w:lang w:val="es-CO"/>
        </w:rPr>
        <w:t>2</w:t>
      </w:r>
      <w:r w:rsidR="00464146" w:rsidRPr="00C316F8">
        <w:rPr>
          <w:rFonts w:cstheme="minorHAnsi"/>
          <w:sz w:val="24"/>
          <w:szCs w:val="24"/>
          <w:lang w:val="es-CO"/>
        </w:rPr>
        <w:t>.</w:t>
      </w:r>
    </w:p>
    <w:p w14:paraId="4DB1F93E" w14:textId="6F988B9C" w:rsidR="00464146" w:rsidRPr="00C316F8" w:rsidRDefault="005635E8" w:rsidP="005635E8">
      <w:pPr>
        <w:pStyle w:val="Descripcin"/>
        <w:rPr>
          <w:rFonts w:asciiTheme="minorHAnsi" w:hAnsiTheme="minorHAnsi" w:cstheme="minorHAnsi"/>
          <w:b/>
          <w:bCs/>
          <w:i w:val="0"/>
          <w:iCs w:val="0"/>
          <w:color w:val="auto"/>
          <w:sz w:val="24"/>
          <w:szCs w:val="24"/>
        </w:rPr>
      </w:pPr>
      <w:bookmarkStart w:id="27" w:name="_Toc229834691"/>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2</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Medidas económicas tomadas en Colombia durante la pandemia Covid-19</w:t>
      </w:r>
      <w:bookmarkEnd w:id="27"/>
    </w:p>
    <w:tbl>
      <w:tblPr>
        <w:tblStyle w:val="Tablaconcuadrcula"/>
        <w:tblW w:w="0" w:type="auto"/>
        <w:tblLook w:val="04A0" w:firstRow="1" w:lastRow="0" w:firstColumn="1" w:lastColumn="0" w:noHBand="0" w:noVBand="1"/>
      </w:tblPr>
      <w:tblGrid>
        <w:gridCol w:w="1940"/>
        <w:gridCol w:w="6888"/>
      </w:tblGrid>
      <w:tr w:rsidR="005635E8" w:rsidRPr="00C316F8" w14:paraId="59F05202" w14:textId="77777777" w:rsidTr="002802E5">
        <w:trPr>
          <w:tblHeader/>
        </w:trPr>
        <w:tc>
          <w:tcPr>
            <w:tcW w:w="0" w:type="auto"/>
          </w:tcPr>
          <w:p w14:paraId="79164DDF" w14:textId="68C8500F" w:rsidR="005635E8" w:rsidRPr="00C316F8" w:rsidRDefault="00FD4741" w:rsidP="003B711F">
            <w:pPr>
              <w:jc w:val="both"/>
              <w:rPr>
                <w:rFonts w:cstheme="minorHAnsi"/>
                <w:b/>
                <w:bCs/>
                <w:sz w:val="24"/>
                <w:szCs w:val="24"/>
                <w:shd w:val="clear" w:color="auto" w:fill="FFFFFF"/>
                <w:lang w:val="es-CO"/>
              </w:rPr>
            </w:pPr>
            <w:r w:rsidRPr="00C316F8">
              <w:rPr>
                <w:rFonts w:cstheme="minorHAnsi"/>
                <w:b/>
                <w:bCs/>
                <w:sz w:val="24"/>
                <w:szCs w:val="24"/>
                <w:shd w:val="clear" w:color="auto" w:fill="FFFFFF"/>
                <w:lang w:val="es-CO"/>
              </w:rPr>
              <w:t>M</w:t>
            </w:r>
            <w:r w:rsidR="005635E8" w:rsidRPr="00C316F8">
              <w:rPr>
                <w:rFonts w:cstheme="minorHAnsi"/>
                <w:b/>
                <w:bCs/>
                <w:sz w:val="24"/>
                <w:szCs w:val="24"/>
                <w:shd w:val="clear" w:color="auto" w:fill="FFFFFF"/>
                <w:lang w:val="es-CO"/>
              </w:rPr>
              <w:t>edida</w:t>
            </w:r>
          </w:p>
        </w:tc>
        <w:tc>
          <w:tcPr>
            <w:tcW w:w="0" w:type="auto"/>
          </w:tcPr>
          <w:p w14:paraId="67B65BE5" w14:textId="19207F16" w:rsidR="005635E8" w:rsidRPr="00C316F8" w:rsidRDefault="005635E8" w:rsidP="003B711F">
            <w:pPr>
              <w:jc w:val="both"/>
              <w:rPr>
                <w:rFonts w:cstheme="minorHAnsi"/>
                <w:b/>
                <w:bCs/>
                <w:sz w:val="24"/>
                <w:szCs w:val="24"/>
                <w:shd w:val="clear" w:color="auto" w:fill="FFFFFF"/>
                <w:lang w:val="es-CO"/>
              </w:rPr>
            </w:pPr>
            <w:r w:rsidRPr="00C316F8">
              <w:rPr>
                <w:rFonts w:cstheme="minorHAnsi"/>
                <w:b/>
                <w:bCs/>
                <w:sz w:val="24"/>
                <w:szCs w:val="24"/>
                <w:shd w:val="clear" w:color="auto" w:fill="FFFFFF"/>
                <w:lang w:val="es-CO"/>
              </w:rPr>
              <w:t>Acción</w:t>
            </w:r>
          </w:p>
        </w:tc>
      </w:tr>
      <w:tr w:rsidR="00464146" w:rsidRPr="0079649D" w14:paraId="738A7D72" w14:textId="77777777" w:rsidTr="002802E5">
        <w:tc>
          <w:tcPr>
            <w:tcW w:w="0" w:type="auto"/>
          </w:tcPr>
          <w:p w14:paraId="05D0530F"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Aplazamiento del pago de impuestos</w:t>
            </w:r>
          </w:p>
        </w:tc>
        <w:tc>
          <w:tcPr>
            <w:tcW w:w="0" w:type="auto"/>
          </w:tcPr>
          <w:p w14:paraId="240F21A5"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El 18 de marzo se anunciaron rápidos reembolsos de impuestos</w:t>
            </w:r>
          </w:p>
        </w:tc>
      </w:tr>
      <w:tr w:rsidR="00464146" w:rsidRPr="0079649D" w14:paraId="3AED7B31" w14:textId="77777777" w:rsidTr="002802E5">
        <w:tc>
          <w:tcPr>
            <w:tcW w:w="0" w:type="auto"/>
          </w:tcPr>
          <w:p w14:paraId="22FB7BB2"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Flexibilización de la regulación fiscal</w:t>
            </w:r>
          </w:p>
        </w:tc>
        <w:tc>
          <w:tcPr>
            <w:tcW w:w="0" w:type="auto"/>
          </w:tcPr>
          <w:p w14:paraId="24C52A1E"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El 27 de mayo la cámara baja de Colombia aprobó una ley de “borrón y cuenta nueva” que otorgaría a los deudores un período de gracia de un año para ponerse al día con sus pagos, y aquellos que lo hagan tendrán borrados los informes de crédito negativos de las centrales de riesgo</w:t>
            </w:r>
          </w:p>
        </w:tc>
      </w:tr>
      <w:tr w:rsidR="00464146" w:rsidRPr="0079649D" w14:paraId="16FC03EE" w14:textId="77777777" w:rsidTr="002802E5">
        <w:tc>
          <w:tcPr>
            <w:tcW w:w="0" w:type="auto"/>
          </w:tcPr>
          <w:p w14:paraId="439BECC7"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lastRenderedPageBreak/>
              <w:t>Licencia y subempleo</w:t>
            </w:r>
          </w:p>
        </w:tc>
        <w:tc>
          <w:tcPr>
            <w:tcW w:w="0" w:type="auto"/>
          </w:tcPr>
          <w:p w14:paraId="4FD7704C"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El 3 de junio, la administración de Duque agilizó una medida que permite a las empresas cuyos ingresos han caído en al menos un 20 por ciento retrasar el pago de las bonificaciones a los empleados y el pago de horas extras desde la primera mitad del año hasta el 20 de diciembre a más tardar. El 8 de mayo, mediante un decreto el gobierno subsidiará el 40 por ciento del salario mínimo de $250 dólares por mes para los trabajadores de empresas que han visto caer sus ingresos en al menos un 20 por ciento durante la pandemia.</w:t>
            </w:r>
          </w:p>
        </w:tc>
      </w:tr>
      <w:tr w:rsidR="00464146" w:rsidRPr="0079649D" w14:paraId="11D1B3AE" w14:textId="77777777" w:rsidTr="002802E5">
        <w:tc>
          <w:tcPr>
            <w:tcW w:w="0" w:type="auto"/>
          </w:tcPr>
          <w:p w14:paraId="5D2F7FA6"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Préstamo comercial</w:t>
            </w:r>
          </w:p>
        </w:tc>
        <w:tc>
          <w:tcPr>
            <w:tcW w:w="0" w:type="auto"/>
          </w:tcPr>
          <w:p w14:paraId="0240FA5F"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El 18 de marzo se anunciaron una serie de medidas de alivio económico, un período de gracia para pagos de hipotecas y préstamos para pequeñas y medianas empresas, y líneas de crédito especiales para los sectores de agricultura, turismo y aviación. Nuevos créditos para PYMES. Con el 50% del pago siendo aprobado por el gobierno si el beneficiario no puede pagar debido a la crisis</w:t>
            </w:r>
          </w:p>
        </w:tc>
      </w:tr>
      <w:tr w:rsidR="00464146" w:rsidRPr="0079649D" w14:paraId="5BDD4F1C" w14:textId="77777777" w:rsidTr="002802E5">
        <w:tc>
          <w:tcPr>
            <w:tcW w:w="0" w:type="auto"/>
          </w:tcPr>
          <w:p w14:paraId="34E6D149"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Advertencias y restricciones de viaje</w:t>
            </w:r>
          </w:p>
        </w:tc>
        <w:tc>
          <w:tcPr>
            <w:tcW w:w="0" w:type="auto"/>
          </w:tcPr>
          <w:p w14:paraId="15F7BB68"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Suspensión de transporte doméstico aéreo. Cierre de todas las fronteras y puntos de entrada de Colombia a partir del 17 de marzo</w:t>
            </w:r>
          </w:p>
        </w:tc>
      </w:tr>
      <w:tr w:rsidR="00464146" w:rsidRPr="0079649D" w14:paraId="59C472BB" w14:textId="77777777" w:rsidTr="002802E5">
        <w:tc>
          <w:tcPr>
            <w:tcW w:w="0" w:type="auto"/>
          </w:tcPr>
          <w:p w14:paraId="5430C634"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Política monetaria</w:t>
            </w:r>
          </w:p>
        </w:tc>
        <w:tc>
          <w:tcPr>
            <w:tcW w:w="0" w:type="auto"/>
          </w:tcPr>
          <w:p w14:paraId="6E309B58"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Disponer de las operaciones presupuestarias necesarias para las acciones frente a la emergencia sanitaria</w:t>
            </w:r>
          </w:p>
        </w:tc>
      </w:tr>
      <w:tr w:rsidR="00464146" w:rsidRPr="0079649D" w14:paraId="466C7FB1" w14:textId="77777777" w:rsidTr="002802E5">
        <w:tc>
          <w:tcPr>
            <w:tcW w:w="0" w:type="auto"/>
          </w:tcPr>
          <w:p w14:paraId="60726233"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Seguridad social</w:t>
            </w:r>
          </w:p>
        </w:tc>
        <w:tc>
          <w:tcPr>
            <w:tcW w:w="0" w:type="auto"/>
          </w:tcPr>
          <w:p w14:paraId="1F2E1872"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Medidas para el flujo de recursos en el Sistema General de Seguridad Social en Salud y mantener la afiliación al mismo de quienes han perdido la capacidad de pago</w:t>
            </w:r>
          </w:p>
        </w:tc>
      </w:tr>
      <w:tr w:rsidR="00464146" w:rsidRPr="0079649D" w14:paraId="3224DCCF" w14:textId="77777777" w:rsidTr="002802E5">
        <w:tc>
          <w:tcPr>
            <w:tcW w:w="0" w:type="auto"/>
          </w:tcPr>
          <w:p w14:paraId="4B6B7E92"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Apoyo a los vulnerables</w:t>
            </w:r>
          </w:p>
        </w:tc>
        <w:tc>
          <w:tcPr>
            <w:tcW w:w="0" w:type="auto"/>
          </w:tcPr>
          <w:p w14:paraId="75E375A3"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-Creación de un incentivo económico para los campesinos (27 de marzo). -Establecer un auxilio económico a la población cesante.-Respaldo de la emisión de nuevos créditos con el fin de mantener activas las relaciones crediticias y financiar tanto a micro, pequeñas y medianas empresas.- Desembolsos de aproximadamente $40 dólares para 3 millones de familias de bajos ingresos</w:t>
            </w:r>
          </w:p>
        </w:tc>
      </w:tr>
      <w:tr w:rsidR="00464146" w:rsidRPr="0079649D" w14:paraId="2A4CDC0B" w14:textId="77777777" w:rsidTr="002802E5">
        <w:tc>
          <w:tcPr>
            <w:tcW w:w="0" w:type="auto"/>
          </w:tcPr>
          <w:p w14:paraId="4B37CEEF"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Cierre de escuelas y universidades</w:t>
            </w:r>
          </w:p>
        </w:tc>
        <w:tc>
          <w:tcPr>
            <w:tcW w:w="0" w:type="auto"/>
          </w:tcPr>
          <w:p w14:paraId="370A8995"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Suspensión de todas las clases presenciales el 16 de marzo. Las escuelas públicas y las universidades continuaron ofreciendo clases virtuales hasta el 30 de julio. Subsidio del 100% de la matrícula de casi 400,000 estudiantes de bajos recursos en universidades públicas, y el 70% de las cuotas de otros 169,000 estudiantes</w:t>
            </w:r>
          </w:p>
        </w:tc>
      </w:tr>
      <w:tr w:rsidR="00464146" w:rsidRPr="0079649D" w14:paraId="38AFDC66" w14:textId="77777777" w:rsidTr="002802E5">
        <w:tc>
          <w:tcPr>
            <w:tcW w:w="0" w:type="auto"/>
          </w:tcPr>
          <w:p w14:paraId="61A24D56"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Ayuda financiera</w:t>
            </w:r>
          </w:p>
        </w:tc>
        <w:tc>
          <w:tcPr>
            <w:tcW w:w="0" w:type="auto"/>
          </w:tcPr>
          <w:p w14:paraId="2A7DD70D"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Los sueldos públicos entre 10 y 15 millones donarán el 10% y los sueldos superiores a 15 millones donarán el 15%, para ayudar a financiar la crisis</w:t>
            </w:r>
          </w:p>
        </w:tc>
      </w:tr>
      <w:tr w:rsidR="00464146" w:rsidRPr="0079649D" w14:paraId="0ECA9334" w14:textId="77777777" w:rsidTr="002802E5">
        <w:tc>
          <w:tcPr>
            <w:tcW w:w="0" w:type="auto"/>
          </w:tcPr>
          <w:p w14:paraId="4DA70441"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Gasto en salud</w:t>
            </w:r>
          </w:p>
        </w:tc>
        <w:tc>
          <w:tcPr>
            <w:tcW w:w="0" w:type="auto"/>
          </w:tcPr>
          <w:p w14:paraId="1B5B0B3B"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 xml:space="preserve">El “Fondo de mitigación de emergencia” FOME se creó para financiar el gasto durante la crisis $929.950 billones de pesos. El gobierno colombiano ha solicitado un total de $14 mil millones de dólares en préstamos de prestamistas internacionales, incluidos $11 mil millones del FMI, y $3 mil millones al Banco Mundial, el Banco </w:t>
            </w:r>
            <w:r w:rsidRPr="00C316F8">
              <w:rPr>
                <w:rFonts w:cstheme="minorHAnsi"/>
                <w:sz w:val="24"/>
                <w:szCs w:val="24"/>
                <w:shd w:val="clear" w:color="auto" w:fill="FFFFFF"/>
                <w:lang w:val="es-CO"/>
              </w:rPr>
              <w:lastRenderedPageBreak/>
              <w:t>Interamericano de Desarrollo y la CAF-Banco de Desarrollo de América Latina.</w:t>
            </w:r>
          </w:p>
        </w:tc>
      </w:tr>
    </w:tbl>
    <w:p w14:paraId="0C7DF149" w14:textId="15F2AA0E" w:rsidR="00464146" w:rsidRPr="00C316F8" w:rsidRDefault="00464146" w:rsidP="003B711F">
      <w:pPr>
        <w:jc w:val="both"/>
        <w:rPr>
          <w:rFonts w:cstheme="minorHAnsi"/>
          <w:sz w:val="24"/>
          <w:szCs w:val="24"/>
          <w:lang w:val="es-ES"/>
        </w:rPr>
      </w:pPr>
      <w:r w:rsidRPr="00C316F8">
        <w:rPr>
          <w:rFonts w:cstheme="minorHAnsi"/>
          <w:sz w:val="24"/>
          <w:szCs w:val="24"/>
          <w:lang w:val="es-ES"/>
        </w:rPr>
        <w:lastRenderedPageBreak/>
        <w:t>* Tomado de Paz-Gómez</w:t>
      </w:r>
      <w:r w:rsidR="00EC4A67" w:rsidRPr="00C316F8">
        <w:rPr>
          <w:rFonts w:cstheme="minorHAnsi"/>
          <w:sz w:val="24"/>
          <w:szCs w:val="24"/>
          <w:lang w:val="es-ES"/>
        </w:rPr>
        <w:t>.</w:t>
      </w:r>
      <w:r w:rsidRPr="00C316F8">
        <w:rPr>
          <w:rFonts w:cstheme="minorHAnsi"/>
          <w:sz w:val="24"/>
          <w:szCs w:val="24"/>
          <w:lang w:val="es-ES"/>
        </w:rPr>
        <w:t xml:space="preserve"> </w:t>
      </w:r>
      <w:r w:rsidRPr="00C316F8">
        <w:rPr>
          <w:rFonts w:cstheme="minorHAnsi"/>
          <w:sz w:val="24"/>
          <w:szCs w:val="24"/>
          <w:lang w:val="es-ES"/>
        </w:rPr>
        <w:fldChar w:fldCharType="begin"/>
      </w:r>
      <w:r w:rsidR="00CF09B7" w:rsidRPr="00C316F8">
        <w:rPr>
          <w:rFonts w:cstheme="minorHAnsi"/>
          <w:sz w:val="24"/>
          <w:szCs w:val="24"/>
          <w:lang w:val="es-ES"/>
        </w:rPr>
        <w:instrText xml:space="preserve"> ADDIN ZOTERO_ITEM CSL_CITATION {"citationID":"nEuEDdo6","properties":{"formattedCitation":"(54)","plainCitation":"(54)","noteIndex":0},"citationItems":[{"id":26,"uris":["http://zotero.org/users/5785509/items/4L4VKNXA"],"itemData":{"id":26,"type":"article-journal","abstract":"Este artículo busca comprender las diferencias y similitudes en las respuestas económicas y de salud adoptadas por los gobiernos de Colombia y Ecuador para hacer frente a la pandemia por Covid-19. Para ello, clasificamos las medidas implementadas y las asociamos a las capacidades fiscales y organizativas en cada país. Los resultados demuestran semejanzas en la implementación de medidas para reducir los impactos negativos sobre el sector empresarial y turístico; mientras que se evidencian grandes contrastes en las medidas de estímulo fiscal, que incluye la renegociación de la deuda externa, y en la distancia temporal para la implementación de medidas sanitarias.","container-title":"Análisis Político","DOI":"10.15446/anpol.v33n100.93362","ISSN":"0121-4705","issue":"100","journalAbbreviation":"Anal. político","page":"72-91","source":"DOI.org (Crossref)","title":"(In) capacidades de política en tiempos de Covid-19: comprendiendo las respuestas económicas de Colombia y Ecuador","title-short":"(In) capacidades de política en tiempos de Covid-19","URL":"https://revistas.unal.edu.co/index.php/anpol/article/view/93362","volume":"33","author":[{"family":"Paz-Gómez","given":"Diana Marcela"},{"family":"Santelices Enríquez","given":"María Caridad"}],"accessed":{"date-parts":[["2022",3,12]]},"issued":{"date-parts":[["2021",2,4]]}}}],"schema":"https://github.com/citation-style-language/schema/raw/master/csl-citation.json"} </w:instrText>
      </w:r>
      <w:r w:rsidRPr="00C316F8">
        <w:rPr>
          <w:rFonts w:cstheme="minorHAnsi"/>
          <w:sz w:val="24"/>
          <w:szCs w:val="24"/>
          <w:lang w:val="es-ES"/>
        </w:rPr>
        <w:fldChar w:fldCharType="separate"/>
      </w:r>
      <w:r w:rsidR="00CF09B7" w:rsidRPr="00C316F8">
        <w:rPr>
          <w:rFonts w:ascii="Calibri" w:hAnsi="Calibri" w:cs="Calibri"/>
          <w:sz w:val="24"/>
          <w:lang w:val="es-CO"/>
        </w:rPr>
        <w:t>(54)</w:t>
      </w:r>
      <w:r w:rsidRPr="00C316F8">
        <w:rPr>
          <w:rFonts w:cstheme="minorHAnsi"/>
          <w:sz w:val="24"/>
          <w:szCs w:val="24"/>
          <w:lang w:val="es-ES"/>
        </w:rPr>
        <w:fldChar w:fldCharType="end"/>
      </w:r>
    </w:p>
    <w:p w14:paraId="70B3F6AC" w14:textId="77777777" w:rsidR="00464146" w:rsidRPr="00C316F8" w:rsidRDefault="00464146" w:rsidP="003B711F">
      <w:pPr>
        <w:jc w:val="both"/>
        <w:rPr>
          <w:rFonts w:cstheme="minorHAnsi"/>
          <w:sz w:val="24"/>
          <w:szCs w:val="24"/>
          <w:lang w:val="es-ES"/>
        </w:rPr>
      </w:pPr>
    </w:p>
    <w:p w14:paraId="16C9FE62" w14:textId="3853B593" w:rsidR="00644764" w:rsidRPr="00C316F8" w:rsidRDefault="005635E8" w:rsidP="00644764">
      <w:pPr>
        <w:pStyle w:val="Ttulo2"/>
      </w:pPr>
      <w:bookmarkStart w:id="28" w:name="_Toc229834643"/>
      <w:r w:rsidRPr="00C316F8">
        <w:t>3.3.3</w:t>
      </w:r>
      <w:r w:rsidRPr="00C316F8">
        <w:tab/>
        <w:t>Medidas de salud tomadas en Colombia</w:t>
      </w:r>
      <w:bookmarkEnd w:id="28"/>
    </w:p>
    <w:p w14:paraId="45D1487A" w14:textId="77777777" w:rsidR="005635E8" w:rsidRPr="00C316F8" w:rsidRDefault="005635E8" w:rsidP="005635E8">
      <w:pPr>
        <w:rPr>
          <w:lang w:val="es-CO"/>
        </w:rPr>
      </w:pPr>
    </w:p>
    <w:p w14:paraId="1DC1E34E" w14:textId="3530B81D" w:rsidR="00464146" w:rsidRPr="00C316F8" w:rsidRDefault="00464146" w:rsidP="003B711F">
      <w:pPr>
        <w:jc w:val="both"/>
        <w:rPr>
          <w:rFonts w:cstheme="minorHAnsi"/>
          <w:sz w:val="24"/>
          <w:szCs w:val="24"/>
          <w:lang w:val="es-ES"/>
        </w:rPr>
      </w:pPr>
      <w:r w:rsidRPr="00C316F8">
        <w:rPr>
          <w:rFonts w:cstheme="minorHAnsi"/>
          <w:sz w:val="24"/>
          <w:szCs w:val="24"/>
          <w:lang w:val="es-ES"/>
        </w:rPr>
        <w:t xml:space="preserve">Las medidas de salud que se tomaron en Colombia para lograr contener los efectos en salud de la pandemia se basaron en varios parámetros como se observa en la tabla </w:t>
      </w:r>
      <w:r w:rsidR="00D83FD1" w:rsidRPr="00C316F8">
        <w:rPr>
          <w:rFonts w:cstheme="minorHAnsi"/>
          <w:sz w:val="24"/>
          <w:szCs w:val="24"/>
          <w:lang w:val="es-ES"/>
        </w:rPr>
        <w:t>3</w:t>
      </w:r>
      <w:r w:rsidRPr="00C316F8">
        <w:rPr>
          <w:rFonts w:cstheme="minorHAnsi"/>
          <w:sz w:val="24"/>
          <w:szCs w:val="24"/>
          <w:lang w:val="es-ES"/>
        </w:rPr>
        <w:t>.</w:t>
      </w:r>
    </w:p>
    <w:p w14:paraId="3239E6BA" w14:textId="0E56CF8D" w:rsidR="00464146" w:rsidRPr="00C316F8" w:rsidRDefault="00D83FD1" w:rsidP="00D83FD1">
      <w:pPr>
        <w:pStyle w:val="Descripcin"/>
        <w:rPr>
          <w:rFonts w:asciiTheme="minorHAnsi" w:hAnsiTheme="minorHAnsi" w:cstheme="minorHAnsi"/>
          <w:b/>
          <w:bCs/>
          <w:i w:val="0"/>
          <w:iCs w:val="0"/>
          <w:color w:val="auto"/>
          <w:sz w:val="24"/>
          <w:szCs w:val="24"/>
          <w:lang w:val="es-ES"/>
        </w:rPr>
      </w:pPr>
      <w:bookmarkStart w:id="29" w:name="_Toc229834692"/>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3</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Medidas de salud tomadas en Colombia</w:t>
      </w:r>
      <w:bookmarkEnd w:id="29"/>
    </w:p>
    <w:tbl>
      <w:tblPr>
        <w:tblStyle w:val="Tablaconcuadrcula"/>
        <w:tblW w:w="0" w:type="auto"/>
        <w:tblInd w:w="-5" w:type="dxa"/>
        <w:tblLook w:val="04A0" w:firstRow="1" w:lastRow="0" w:firstColumn="1" w:lastColumn="0" w:noHBand="0" w:noVBand="1"/>
      </w:tblPr>
      <w:tblGrid>
        <w:gridCol w:w="1841"/>
        <w:gridCol w:w="6992"/>
      </w:tblGrid>
      <w:tr w:rsidR="00464146" w:rsidRPr="0079649D" w14:paraId="5A7FD5B1" w14:textId="77777777" w:rsidTr="002802E5">
        <w:tc>
          <w:tcPr>
            <w:tcW w:w="1937" w:type="dxa"/>
          </w:tcPr>
          <w:p w14:paraId="2A16D1E7"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Distanciamiento social</w:t>
            </w:r>
          </w:p>
        </w:tc>
        <w:tc>
          <w:tcPr>
            <w:tcW w:w="0" w:type="auto"/>
          </w:tcPr>
          <w:p w14:paraId="487F662E"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Aislamiento preventivo obligatorio desde el 25 de marzo. Extensión de la emergencia sanitaria nacional, vigente desde el 12 de marzo hasta el 31 de agosto</w:t>
            </w:r>
          </w:p>
        </w:tc>
      </w:tr>
      <w:tr w:rsidR="00464146" w:rsidRPr="0079649D" w14:paraId="390F9B2B" w14:textId="77777777" w:rsidTr="002802E5">
        <w:tc>
          <w:tcPr>
            <w:tcW w:w="1937" w:type="dxa"/>
          </w:tcPr>
          <w:p w14:paraId="7535BF1D"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Instalaciones sanitarias</w:t>
            </w:r>
          </w:p>
        </w:tc>
        <w:tc>
          <w:tcPr>
            <w:tcW w:w="0" w:type="auto"/>
          </w:tcPr>
          <w:p w14:paraId="29F1B73E"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Colombia tiene cobertura de salud pública general obligatoria para toda su población, con una tasa de afiliación del 97%. Con programas completos de atención al coronavirus tanto para pagadores como para beneficiarios</w:t>
            </w:r>
          </w:p>
        </w:tc>
      </w:tr>
      <w:tr w:rsidR="00464146" w:rsidRPr="0079649D" w14:paraId="24F17510" w14:textId="77777777" w:rsidTr="002802E5">
        <w:tc>
          <w:tcPr>
            <w:tcW w:w="1937" w:type="dxa"/>
          </w:tcPr>
          <w:p w14:paraId="26C08BB3"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Atención al paciente</w:t>
            </w:r>
          </w:p>
        </w:tc>
        <w:tc>
          <w:tcPr>
            <w:tcW w:w="0" w:type="auto"/>
          </w:tcPr>
          <w:p w14:paraId="43BC2C04"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El gobierno articula esfuerzos con laboratorios universitarios y hospitales para incrementar el número de pruebas</w:t>
            </w:r>
          </w:p>
        </w:tc>
      </w:tr>
      <w:tr w:rsidR="00464146" w:rsidRPr="0079649D" w14:paraId="6A9C1FAD" w14:textId="77777777" w:rsidTr="002802E5">
        <w:tc>
          <w:tcPr>
            <w:tcW w:w="1937" w:type="dxa"/>
          </w:tcPr>
          <w:p w14:paraId="5E24B7F5"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Inmunización y tratamiento</w:t>
            </w:r>
          </w:p>
        </w:tc>
        <w:tc>
          <w:tcPr>
            <w:tcW w:w="0" w:type="auto"/>
          </w:tcPr>
          <w:p w14:paraId="41B22758"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lang w:val="es-CO"/>
              </w:rPr>
              <w:t>5.845 camas UCI. Gobierno regula costo de atención UCI en hospitales</w:t>
            </w:r>
          </w:p>
        </w:tc>
      </w:tr>
      <w:tr w:rsidR="00464146" w:rsidRPr="00C316F8" w14:paraId="0D08A278" w14:textId="77777777" w:rsidTr="002802E5">
        <w:tc>
          <w:tcPr>
            <w:tcW w:w="1937" w:type="dxa"/>
          </w:tcPr>
          <w:p w14:paraId="02781F58"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Información y asesoramiento</w:t>
            </w:r>
          </w:p>
        </w:tc>
        <w:tc>
          <w:tcPr>
            <w:tcW w:w="0" w:type="auto"/>
          </w:tcPr>
          <w:p w14:paraId="5557313C" w14:textId="77777777" w:rsidR="00464146" w:rsidRPr="00C316F8" w:rsidRDefault="00464146" w:rsidP="003B711F">
            <w:pPr>
              <w:jc w:val="both"/>
              <w:rPr>
                <w:rFonts w:cstheme="minorHAnsi"/>
                <w:sz w:val="24"/>
                <w:szCs w:val="24"/>
                <w:lang w:val="es-ES"/>
              </w:rPr>
            </w:pPr>
            <w:r w:rsidRPr="00C316F8">
              <w:rPr>
                <w:rFonts w:cstheme="minorHAnsi"/>
                <w:sz w:val="24"/>
                <w:szCs w:val="24"/>
                <w:shd w:val="clear" w:color="auto" w:fill="FFFFFF"/>
              </w:rPr>
              <w:t>Portal web Coronavirus Colombia</w:t>
            </w:r>
          </w:p>
        </w:tc>
      </w:tr>
      <w:tr w:rsidR="00464146" w:rsidRPr="00C316F8" w14:paraId="0D1CB157" w14:textId="77777777" w:rsidTr="002802E5">
        <w:tc>
          <w:tcPr>
            <w:tcW w:w="8833" w:type="dxa"/>
            <w:gridSpan w:val="2"/>
          </w:tcPr>
          <w:p w14:paraId="1F4D8DA4" w14:textId="4DB51C3C" w:rsidR="00464146" w:rsidRPr="00C316F8" w:rsidRDefault="00464146" w:rsidP="003B711F">
            <w:pPr>
              <w:jc w:val="both"/>
              <w:rPr>
                <w:rFonts w:cstheme="minorHAnsi"/>
                <w:sz w:val="24"/>
                <w:szCs w:val="24"/>
                <w:lang w:val="es-ES"/>
              </w:rPr>
            </w:pPr>
            <w:r w:rsidRPr="00C316F8">
              <w:rPr>
                <w:rFonts w:cstheme="minorHAnsi"/>
                <w:sz w:val="24"/>
                <w:szCs w:val="24"/>
                <w:lang w:val="es-ES"/>
              </w:rPr>
              <w:t>*Tomado de</w:t>
            </w:r>
            <w:r w:rsidR="00EC4A67" w:rsidRPr="00C316F8">
              <w:rPr>
                <w:rFonts w:cstheme="minorHAnsi"/>
                <w:sz w:val="24"/>
                <w:szCs w:val="24"/>
                <w:lang w:val="es-ES"/>
              </w:rPr>
              <w:t xml:space="preserve"> Paz-Gómez.</w:t>
            </w:r>
            <w:r w:rsidRPr="00C316F8">
              <w:rPr>
                <w:rFonts w:cstheme="minorHAnsi"/>
                <w:sz w:val="24"/>
                <w:szCs w:val="24"/>
                <w:lang w:val="es-ES"/>
              </w:rPr>
              <w:t xml:space="preserve"> </w:t>
            </w:r>
            <w:r w:rsidRPr="00C316F8">
              <w:rPr>
                <w:rFonts w:cstheme="minorHAnsi"/>
                <w:sz w:val="24"/>
                <w:szCs w:val="24"/>
                <w:lang w:val="es-ES"/>
              </w:rPr>
              <w:fldChar w:fldCharType="begin"/>
            </w:r>
            <w:r w:rsidR="00CF09B7" w:rsidRPr="00C316F8">
              <w:rPr>
                <w:rFonts w:cstheme="minorHAnsi"/>
                <w:sz w:val="24"/>
                <w:szCs w:val="24"/>
                <w:lang w:val="es-ES"/>
              </w:rPr>
              <w:instrText xml:space="preserve"> ADDIN ZOTERO_ITEM CSL_CITATION {"citationID":"g1wL2crM","properties":{"formattedCitation":"(54)","plainCitation":"(54)","noteIndex":0},"citationItems":[{"id":26,"uris":["http://zotero.org/users/5785509/items/4L4VKNXA"],"itemData":{"id":26,"type":"article-journal","abstract":"Este artículo busca comprender las diferencias y similitudes en las respuestas económicas y de salud adoptadas por los gobiernos de Colombia y Ecuador para hacer frente a la pandemia por Covid-19. Para ello, clasificamos las medidas implementadas y las asociamos a las capacidades fiscales y organizativas en cada país. Los resultados demuestran semejanzas en la implementación de medidas para reducir los impactos negativos sobre el sector empresarial y turístico; mientras que se evidencian grandes contrastes en las medidas de estímulo fiscal, que incluye la renegociación de la deuda externa, y en la distancia temporal para la implementación de medidas sanitarias.","container-title":"Análisis Político","DOI":"10.15446/anpol.v33n100.93362","ISSN":"0121-4705","issue":"100","journalAbbreviation":"Anal. político","page":"72-91","source":"DOI.org (Crossref)","title":"(In) capacidades de política en tiempos de Covid-19: comprendiendo las respuestas económicas de Colombia y Ecuador","title-short":"(In) capacidades de política en tiempos de Covid-19","URL":"https://revistas.unal.edu.co/index.php/anpol/article/view/93362","volume":"33","author":[{"family":"Paz-Gómez","given":"Diana Marcela"},{"family":"Santelices Enríquez","given":"María Caridad"}],"accessed":{"date-parts":[["2022",3,12]]},"issued":{"date-parts":[["2021",2,4]]}}}],"schema":"https://github.com/citation-style-language/schema/raw/master/csl-citation.json"} </w:instrText>
            </w:r>
            <w:r w:rsidRPr="00C316F8">
              <w:rPr>
                <w:rFonts w:cstheme="minorHAnsi"/>
                <w:sz w:val="24"/>
                <w:szCs w:val="24"/>
                <w:lang w:val="es-ES"/>
              </w:rPr>
              <w:fldChar w:fldCharType="separate"/>
            </w:r>
            <w:r w:rsidR="00CF09B7" w:rsidRPr="00C316F8">
              <w:rPr>
                <w:rFonts w:ascii="Calibri" w:hAnsi="Calibri" w:cs="Calibri"/>
                <w:sz w:val="24"/>
              </w:rPr>
              <w:t>(54)</w:t>
            </w:r>
            <w:r w:rsidRPr="00C316F8">
              <w:rPr>
                <w:rFonts w:cstheme="minorHAnsi"/>
                <w:sz w:val="24"/>
                <w:szCs w:val="24"/>
                <w:lang w:val="es-ES"/>
              </w:rPr>
              <w:fldChar w:fldCharType="end"/>
            </w:r>
          </w:p>
          <w:p w14:paraId="7D3FA152" w14:textId="77777777" w:rsidR="00464146" w:rsidRPr="00C316F8" w:rsidRDefault="00464146" w:rsidP="003B711F">
            <w:pPr>
              <w:jc w:val="both"/>
              <w:rPr>
                <w:rFonts w:cstheme="minorHAnsi"/>
                <w:sz w:val="24"/>
                <w:szCs w:val="24"/>
                <w:lang w:val="es-ES"/>
              </w:rPr>
            </w:pPr>
          </w:p>
        </w:tc>
      </w:tr>
    </w:tbl>
    <w:p w14:paraId="20CC1579" w14:textId="77777777" w:rsidR="00464146" w:rsidRPr="00C316F8" w:rsidRDefault="00464146" w:rsidP="003B711F">
      <w:pPr>
        <w:jc w:val="both"/>
        <w:rPr>
          <w:rFonts w:cstheme="minorHAnsi"/>
          <w:sz w:val="24"/>
          <w:szCs w:val="24"/>
          <w:lang w:val="es-ES"/>
        </w:rPr>
      </w:pPr>
    </w:p>
    <w:p w14:paraId="44362ADD" w14:textId="3E38EC51" w:rsidR="0060429F" w:rsidRPr="00C316F8" w:rsidRDefault="0060429F" w:rsidP="0060429F">
      <w:pPr>
        <w:pStyle w:val="Ttulo2"/>
      </w:pPr>
      <w:bookmarkStart w:id="30" w:name="_Toc229834644"/>
      <w:r w:rsidRPr="00C316F8">
        <w:t>3.3.4</w:t>
      </w:r>
      <w:r w:rsidRPr="00C316F8">
        <w:tab/>
        <w:t xml:space="preserve"> Índice de pobreza multidimensional</w:t>
      </w:r>
      <w:bookmarkEnd w:id="30"/>
    </w:p>
    <w:p w14:paraId="4526348D" w14:textId="77777777" w:rsidR="0060429F" w:rsidRPr="00C316F8" w:rsidRDefault="0060429F" w:rsidP="0060429F">
      <w:pPr>
        <w:rPr>
          <w:lang w:val="es-CO"/>
        </w:rPr>
      </w:pPr>
    </w:p>
    <w:p w14:paraId="506085A4" w14:textId="3F881CC2" w:rsidR="00464146" w:rsidRPr="00C316F8" w:rsidRDefault="00464146" w:rsidP="00554772">
      <w:pPr>
        <w:jc w:val="both"/>
        <w:rPr>
          <w:rFonts w:cstheme="minorHAnsi"/>
          <w:bCs/>
          <w:sz w:val="24"/>
          <w:szCs w:val="24"/>
          <w:lang w:val="es-ES"/>
        </w:rPr>
      </w:pPr>
      <w:r w:rsidRPr="00C316F8">
        <w:rPr>
          <w:rFonts w:cstheme="minorHAnsi"/>
          <w:bCs/>
          <w:sz w:val="24"/>
          <w:szCs w:val="24"/>
          <w:lang w:val="es-ES"/>
        </w:rPr>
        <w:t xml:space="preserve">Colombia es una sociedad desigual en donde se encuentran disparidades entre y dentro de las regiones. Estas desigualdades se evidencian en </w:t>
      </w:r>
      <w:r w:rsidR="001038AE" w:rsidRPr="00C316F8">
        <w:rPr>
          <w:rFonts w:cstheme="minorHAnsi"/>
          <w:bCs/>
          <w:sz w:val="24"/>
          <w:szCs w:val="24"/>
          <w:lang w:val="es-ES"/>
        </w:rPr>
        <w:t>el CMPI</w:t>
      </w:r>
      <w:r w:rsidR="001A22FD" w:rsidRPr="00C316F8">
        <w:rPr>
          <w:rFonts w:cstheme="minorHAnsi"/>
          <w:bCs/>
          <w:sz w:val="24"/>
          <w:szCs w:val="24"/>
          <w:lang w:val="es-ES"/>
        </w:rPr>
        <w:t>,</w:t>
      </w:r>
      <w:r w:rsidRPr="00C316F8">
        <w:rPr>
          <w:rFonts w:cstheme="minorHAnsi"/>
          <w:bCs/>
          <w:sz w:val="24"/>
          <w:szCs w:val="24"/>
          <w:lang w:val="es-ES"/>
        </w:rPr>
        <w:t xml:space="preserve"> el cual puede ser interpretado como un indicador de riesgo para </w:t>
      </w:r>
      <w:r w:rsidR="001A22FD" w:rsidRPr="00C316F8">
        <w:rPr>
          <w:rFonts w:cstheme="minorHAnsi"/>
          <w:bCs/>
          <w:sz w:val="24"/>
          <w:szCs w:val="24"/>
          <w:lang w:val="es-ES"/>
        </w:rPr>
        <w:t xml:space="preserve">la </w:t>
      </w:r>
      <w:r w:rsidRPr="00C316F8">
        <w:rPr>
          <w:rFonts w:cstheme="minorHAnsi"/>
          <w:bCs/>
          <w:sz w:val="24"/>
          <w:szCs w:val="24"/>
          <w:lang w:val="es-ES"/>
        </w:rPr>
        <w:t>infección por Covid-19 en la población debido a que evalúa la salud, incluyendo acceso al sistema, mortalidad y nutrición, acceso a la educación, nivel de escolaridad y condiciones de los hogares como electricidad, sistema de salud y agua potable.</w:t>
      </w:r>
    </w:p>
    <w:p w14:paraId="21F3D7BF" w14:textId="0753DFB2" w:rsidR="00464146" w:rsidRPr="00C316F8" w:rsidRDefault="00464146" w:rsidP="003B711F">
      <w:pPr>
        <w:jc w:val="both"/>
        <w:rPr>
          <w:rFonts w:cstheme="minorHAnsi"/>
          <w:color w:val="000000"/>
          <w:sz w:val="24"/>
          <w:szCs w:val="24"/>
          <w:shd w:val="clear" w:color="auto" w:fill="FFFFFF"/>
          <w:lang w:val="es-CO"/>
        </w:rPr>
      </w:pPr>
      <w:r w:rsidRPr="00C316F8">
        <w:rPr>
          <w:rFonts w:cstheme="minorHAnsi"/>
          <w:bCs/>
          <w:sz w:val="24"/>
          <w:szCs w:val="24"/>
          <w:lang w:val="es-ES"/>
        </w:rPr>
        <w:t xml:space="preserve">El </w:t>
      </w:r>
      <w:r w:rsidR="001A6648" w:rsidRPr="00C316F8">
        <w:rPr>
          <w:rFonts w:cstheme="minorHAnsi"/>
          <w:bCs/>
          <w:sz w:val="24"/>
          <w:szCs w:val="24"/>
          <w:lang w:val="es-ES"/>
        </w:rPr>
        <w:t>CMPI</w:t>
      </w:r>
      <w:r w:rsidRPr="00C316F8">
        <w:rPr>
          <w:rFonts w:cstheme="minorHAnsi"/>
          <w:bCs/>
          <w:sz w:val="24"/>
          <w:szCs w:val="24"/>
          <w:lang w:val="es-ES"/>
        </w:rPr>
        <w:t xml:space="preserve"> en Colombia se calcula a partir de la metodología de Alkire y Foster. Establece 5 dimensiones que incluyen condiciones educativas en el hogar, condiciones de los niños y jóvenes, salud, trabajo, acceso a servicios públicos y condiciones de vivienda. De acuerdo al DANE el </w:t>
      </w:r>
      <w:r w:rsidR="001A6648" w:rsidRPr="00C316F8">
        <w:rPr>
          <w:rFonts w:cstheme="minorHAnsi"/>
          <w:bCs/>
          <w:sz w:val="24"/>
          <w:szCs w:val="24"/>
          <w:lang w:val="es-ES"/>
        </w:rPr>
        <w:t>CMPI</w:t>
      </w:r>
      <w:r w:rsidRPr="00C316F8">
        <w:rPr>
          <w:rFonts w:cstheme="minorHAnsi"/>
          <w:bCs/>
          <w:sz w:val="24"/>
          <w:szCs w:val="24"/>
          <w:lang w:val="es-ES"/>
        </w:rPr>
        <w:t xml:space="preserve"> para el 2020 fue de 18.1%, para Colombia la definición de las dimensiones, </w:t>
      </w:r>
      <w:r w:rsidRPr="00C316F8">
        <w:rPr>
          <w:rFonts w:cstheme="minorHAnsi"/>
          <w:bCs/>
          <w:sz w:val="24"/>
          <w:szCs w:val="24"/>
          <w:lang w:val="es-ES"/>
        </w:rPr>
        <w:lastRenderedPageBreak/>
        <w:t xml:space="preserve">los indicadores y los puntos de corte se realizaron con base </w:t>
      </w:r>
      <w:r w:rsidRPr="00C316F8">
        <w:rPr>
          <w:rFonts w:cstheme="minorHAnsi"/>
          <w:color w:val="000000"/>
          <w:sz w:val="24"/>
          <w:szCs w:val="24"/>
          <w:shd w:val="clear" w:color="auto" w:fill="FFFFFF"/>
          <w:lang w:val="es-CO"/>
        </w:rPr>
        <w:t>en los siguientes elementos: Revisión de las variables de uso frecuente en otros indicadores aplicados en Latinoamérica, la Constitución Política de Colombia, la revisión de la literatura sobre dimensiones y variables prioritarias de uso frecuente en los índices multidimensionales aplicados a Colombia, la relación directa con la política social del Gobierno Nacional, los estudios de voces de los pobres para Colombia, los umbrales definidos por los Objetivos de Desarrollo del Milenio (ODMs Colombia) y por las políticas sectoriales respectivas, la disponibilidad de información en una sola fuente estadística (Encuestas de Calidad de Vida del DANE) y finalmente, la discusión con expertos y responsables sectoriales</w:t>
      </w:r>
      <w:r w:rsidR="003D48EB" w:rsidRPr="00C316F8">
        <w:rPr>
          <w:rFonts w:cstheme="minorHAnsi"/>
          <w:color w:val="000000"/>
          <w:sz w:val="24"/>
          <w:szCs w:val="24"/>
          <w:shd w:val="clear" w:color="auto" w:fill="FFFFFF"/>
          <w:lang w:val="es-CO"/>
        </w:rPr>
        <w:t>.</w:t>
      </w:r>
      <w:r w:rsidRPr="00C316F8">
        <w:rPr>
          <w:rFonts w:cstheme="minorHAnsi"/>
          <w:color w:val="000000"/>
          <w:sz w:val="24"/>
          <w:szCs w:val="24"/>
          <w:shd w:val="clear" w:color="auto" w:fill="FFFFFF"/>
          <w:lang w:val="es-CO"/>
        </w:rPr>
        <w:t xml:space="preserve"> </w:t>
      </w:r>
      <w:r w:rsidRPr="00C316F8">
        <w:rPr>
          <w:rFonts w:cstheme="minorHAnsi"/>
          <w:color w:val="000000"/>
          <w:sz w:val="24"/>
          <w:szCs w:val="24"/>
          <w:shd w:val="clear" w:color="auto" w:fill="FFFFFF"/>
        </w:rPr>
        <w:fldChar w:fldCharType="begin"/>
      </w:r>
      <w:r w:rsidR="00CF09B7" w:rsidRPr="00C316F8">
        <w:rPr>
          <w:rFonts w:cstheme="minorHAnsi"/>
          <w:color w:val="000000"/>
          <w:sz w:val="24"/>
          <w:szCs w:val="24"/>
          <w:shd w:val="clear" w:color="auto" w:fill="FFFFFF"/>
          <w:lang w:val="es-CO"/>
        </w:rPr>
        <w:instrText xml:space="preserve"> ADDIN ZOTERO_ITEM CSL_CITATION {"citationID":"NyJFfxGw","properties":{"formattedCitation":"(55)","plainCitation":"(55)","noteIndex":0},"citationItems":[{"id":495,"uris":["http://zotero.org/users/5785509/items/SUYW4668"],"itemData":{"id":495,"type":"article-journal","ISSN":"1907194495","publisher":"Citeseer","title":"A counting multidimensional poverty index in public policy context: The case of Colombia","author":[{"family":"Salazar","given":"Roberto Carlos Angulo"},{"family":"Díaz","given":"Beatriz Yadira"},{"family":"Pinzón","given":"Renata Pardo"}],"issued":{"date-parts":[["2013"]]}}}],"schema":"https://github.com/citation-style-language/schema/raw/master/csl-citation.json"} </w:instrText>
      </w:r>
      <w:r w:rsidRPr="00C316F8">
        <w:rPr>
          <w:rFonts w:cstheme="minorHAnsi"/>
          <w:color w:val="000000"/>
          <w:sz w:val="24"/>
          <w:szCs w:val="24"/>
          <w:shd w:val="clear" w:color="auto" w:fill="FFFFFF"/>
        </w:rPr>
        <w:fldChar w:fldCharType="separate"/>
      </w:r>
      <w:r w:rsidR="00CF09B7" w:rsidRPr="00C316F8">
        <w:rPr>
          <w:rFonts w:ascii="Calibri" w:hAnsi="Calibri" w:cs="Calibri"/>
          <w:sz w:val="24"/>
          <w:lang w:val="es-CO"/>
        </w:rPr>
        <w:t>(55)</w:t>
      </w:r>
      <w:r w:rsidRPr="00C316F8">
        <w:rPr>
          <w:rFonts w:cstheme="minorHAnsi"/>
          <w:color w:val="000000"/>
          <w:sz w:val="24"/>
          <w:szCs w:val="24"/>
          <w:shd w:val="clear" w:color="auto" w:fill="FFFFFF"/>
        </w:rPr>
        <w:fldChar w:fldCharType="end"/>
      </w:r>
    </w:p>
    <w:p w14:paraId="22A874D5" w14:textId="685B09F5" w:rsidR="00464146" w:rsidRPr="00C316F8" w:rsidRDefault="00B80CFB"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El CMPI comprende 5 dimensiones y 15 indicadores cuya descripción detallada se presenta en la Tabla 4. Dado que este índice constituye el eje metodológico común de los tres estudios de esta tesis, se incluye aquí como referencia central única; su descripción en secciones posteriores se limita a los indicadores específicamente relevantes para cada análisis.</w:t>
      </w:r>
      <w:r w:rsidR="009E3D78" w:rsidRPr="00C316F8">
        <w:rPr>
          <w:rFonts w:cstheme="minorHAnsi"/>
          <w:color w:val="000000"/>
          <w:sz w:val="24"/>
          <w:szCs w:val="24"/>
          <w:shd w:val="clear" w:color="auto" w:fill="FFFFFF"/>
          <w:lang w:val="es-CO"/>
        </w:rPr>
        <w:t xml:space="preserve"> </w:t>
      </w:r>
      <w:r w:rsidR="00464146" w:rsidRPr="00C316F8">
        <w:rPr>
          <w:rFonts w:cstheme="minorHAnsi"/>
          <w:color w:val="000000"/>
          <w:sz w:val="24"/>
          <w:szCs w:val="24"/>
          <w:shd w:val="clear" w:color="auto" w:fill="FFFFFF"/>
        </w:rPr>
        <w:fldChar w:fldCharType="begin"/>
      </w:r>
      <w:r w:rsidR="00961D28" w:rsidRPr="00C316F8">
        <w:rPr>
          <w:rFonts w:cstheme="minorHAnsi"/>
          <w:color w:val="000000"/>
          <w:sz w:val="24"/>
          <w:szCs w:val="24"/>
          <w:shd w:val="clear" w:color="auto" w:fill="FFFFFF"/>
          <w:lang w:val="es-CO"/>
        </w:rPr>
        <w:instrText xml:space="preserve"> ADDIN ZOTERO_ITEM CSL_CITATION {"citationID":"cvwx2sDz","properties":{"formattedCitation":"(7)","plainCitation":"(7)","noteIndex":0},"citationItems":[{"id":497,"uris":["http://zotero.org/users/5785509/items/6M723RS8"],"itemData":{"id":497,"type":"webpage","title":"Colombia | MPPN","URL":"https://mppn.org/es/paises_participantes/colombia/","accessed":{"date-parts":[["2022",4,2]]}}}],"schema":"https://github.com/citation-style-language/schema/raw/master/csl-citation.json"} </w:instrText>
      </w:r>
      <w:r w:rsidR="00464146" w:rsidRPr="00C316F8">
        <w:rPr>
          <w:rFonts w:cstheme="minorHAnsi"/>
          <w:color w:val="000000"/>
          <w:sz w:val="24"/>
          <w:szCs w:val="24"/>
          <w:shd w:val="clear" w:color="auto" w:fill="FFFFFF"/>
        </w:rPr>
        <w:fldChar w:fldCharType="separate"/>
      </w:r>
      <w:r w:rsidR="00961D28" w:rsidRPr="00C316F8">
        <w:rPr>
          <w:rFonts w:ascii="Calibri" w:hAnsi="Calibri" w:cs="Calibri"/>
          <w:sz w:val="24"/>
          <w:lang w:val="es-CO"/>
        </w:rPr>
        <w:t>(7)</w:t>
      </w:r>
      <w:r w:rsidR="00464146" w:rsidRPr="00C316F8">
        <w:rPr>
          <w:rFonts w:cstheme="minorHAnsi"/>
          <w:color w:val="000000"/>
          <w:sz w:val="24"/>
          <w:szCs w:val="24"/>
          <w:shd w:val="clear" w:color="auto" w:fill="FFFFFF"/>
        </w:rPr>
        <w:fldChar w:fldCharType="end"/>
      </w:r>
    </w:p>
    <w:p w14:paraId="352C2BC6" w14:textId="75FEB982" w:rsidR="00464146" w:rsidRPr="00C316F8" w:rsidRDefault="00464146" w:rsidP="003B711F">
      <w:pPr>
        <w:jc w:val="both"/>
        <w:rPr>
          <w:rFonts w:cstheme="minorHAnsi"/>
          <w:sz w:val="24"/>
          <w:szCs w:val="24"/>
          <w:lang w:val="es-CO"/>
        </w:rPr>
      </w:pPr>
      <w:r w:rsidRPr="00C316F8">
        <w:rPr>
          <w:rFonts w:cstheme="minorHAnsi"/>
          <w:sz w:val="24"/>
          <w:szCs w:val="24"/>
          <w:lang w:val="es-ES"/>
        </w:rPr>
        <w:t xml:space="preserve">A pesar de las medidas económicas y de salud implementadas en la pandemia, su impacto en los diferentes departamentos se hizo evidente. De acuerdo con informes del DANE, </w:t>
      </w:r>
      <w:r w:rsidRPr="00C316F8">
        <w:rPr>
          <w:rFonts w:cstheme="minorHAnsi"/>
          <w:sz w:val="24"/>
          <w:szCs w:val="24"/>
          <w:lang w:val="es-CO"/>
        </w:rPr>
        <w:t>entre 2019 y 2020 hubo un incremento de 0,6 puntos porcentuales en la tasa de incidencia de la pobreza multidimensional a nivel nacional; 0,2 puntos porcentuales en las cabeceras; y aumentó 2,6 puntos porcentuales en los centros poblados y rural disperso. En 2020</w:t>
      </w:r>
      <w:r w:rsidR="00820692" w:rsidRPr="00C316F8">
        <w:rPr>
          <w:rFonts w:cstheme="minorHAnsi"/>
          <w:sz w:val="24"/>
          <w:szCs w:val="24"/>
          <w:lang w:val="es-CO"/>
        </w:rPr>
        <w:t>,</w:t>
      </w:r>
      <w:r w:rsidRPr="00C316F8">
        <w:rPr>
          <w:rFonts w:cstheme="minorHAnsi"/>
          <w:sz w:val="24"/>
          <w:szCs w:val="24"/>
          <w:lang w:val="es-CO"/>
        </w:rPr>
        <w:t xml:space="preserve"> el porcentaje de personas en situación de pobreza multidimensional en centros poblados y rural disperso fue 3,0 veces el de las cabeceras y 489.000 personas entraron a la pobreza multidimensional. El cambio es estadísticamente significativo en los centros poblados y rural disperso.</w:t>
      </w:r>
    </w:p>
    <w:p w14:paraId="07D6CABD" w14:textId="118B0E28" w:rsidR="00464146" w:rsidRPr="00C316F8" w:rsidRDefault="00464146" w:rsidP="003B711F">
      <w:pPr>
        <w:jc w:val="both"/>
        <w:rPr>
          <w:rFonts w:cstheme="minorHAnsi"/>
          <w:sz w:val="24"/>
          <w:szCs w:val="24"/>
          <w:lang w:val="es-CO"/>
        </w:rPr>
      </w:pPr>
      <w:r w:rsidRPr="00C316F8">
        <w:rPr>
          <w:rFonts w:cstheme="minorHAnsi"/>
          <w:sz w:val="24"/>
          <w:szCs w:val="24"/>
          <w:lang w:val="es-CO"/>
        </w:rPr>
        <w:t xml:space="preserve">En cuanto a los dominios del índice y su variación de 2019 a 2020, se observan variaciones positivas en el total nacional en los dominios de desempleo de larga duración </w:t>
      </w:r>
      <w:r w:rsidR="00867004" w:rsidRPr="00C316F8">
        <w:rPr>
          <w:rFonts w:cstheme="minorHAnsi"/>
          <w:sz w:val="24"/>
          <w:szCs w:val="24"/>
          <w:lang w:val="es-CO"/>
        </w:rPr>
        <w:t>(1,8)</w:t>
      </w:r>
      <w:r w:rsidRPr="00C316F8">
        <w:rPr>
          <w:rFonts w:cstheme="minorHAnsi"/>
          <w:sz w:val="24"/>
          <w:szCs w:val="24"/>
          <w:lang w:val="es-CO"/>
        </w:rPr>
        <w:t>, inasistencia escolar (13</w:t>
      </w:r>
      <w:r w:rsidR="00F1327C" w:rsidRPr="00C316F8">
        <w:rPr>
          <w:rFonts w:cstheme="minorHAnsi"/>
          <w:sz w:val="24"/>
          <w:szCs w:val="24"/>
          <w:lang w:val="es-CO"/>
        </w:rPr>
        <w:t>,</w:t>
      </w:r>
      <w:r w:rsidRPr="00C316F8">
        <w:rPr>
          <w:rFonts w:cstheme="minorHAnsi"/>
          <w:sz w:val="24"/>
          <w:szCs w:val="24"/>
          <w:lang w:val="es-CO"/>
        </w:rPr>
        <w:t xml:space="preserve">7) y trabajo informal </w:t>
      </w:r>
      <w:r w:rsidR="00867004" w:rsidRPr="00C316F8">
        <w:rPr>
          <w:rFonts w:cstheme="minorHAnsi"/>
          <w:sz w:val="24"/>
          <w:szCs w:val="24"/>
          <w:lang w:val="es-CO"/>
        </w:rPr>
        <w:t>(1,3)</w:t>
      </w:r>
      <w:r w:rsidRPr="00C316F8">
        <w:rPr>
          <w:rFonts w:cstheme="minorHAnsi"/>
          <w:sz w:val="24"/>
          <w:szCs w:val="24"/>
          <w:lang w:val="es-CO"/>
        </w:rPr>
        <w:t>. En las cabeceras</w:t>
      </w:r>
      <w:r w:rsidR="00F17A76" w:rsidRPr="00C316F8">
        <w:rPr>
          <w:rFonts w:cstheme="minorHAnsi"/>
          <w:sz w:val="24"/>
          <w:szCs w:val="24"/>
          <w:lang w:val="es-CO"/>
        </w:rPr>
        <w:t>,</w:t>
      </w:r>
      <w:r w:rsidRPr="00C316F8">
        <w:rPr>
          <w:rFonts w:cstheme="minorHAnsi"/>
          <w:sz w:val="24"/>
          <w:szCs w:val="24"/>
          <w:lang w:val="es-CO"/>
        </w:rPr>
        <w:t xml:space="preserve"> la variación positiva se encontró en desempleo de larga duración (1</w:t>
      </w:r>
      <w:r w:rsidR="00F17A76" w:rsidRPr="00C316F8">
        <w:rPr>
          <w:rFonts w:cstheme="minorHAnsi"/>
          <w:sz w:val="24"/>
          <w:szCs w:val="24"/>
          <w:lang w:val="es-CO"/>
        </w:rPr>
        <w:t>,</w:t>
      </w:r>
      <w:r w:rsidRPr="00C316F8">
        <w:rPr>
          <w:rFonts w:cstheme="minorHAnsi"/>
          <w:sz w:val="24"/>
          <w:szCs w:val="24"/>
          <w:lang w:val="es-CO"/>
        </w:rPr>
        <w:t>6), inasistencia escolar (10</w:t>
      </w:r>
      <w:r w:rsidR="00F17A76" w:rsidRPr="00C316F8">
        <w:rPr>
          <w:rFonts w:cstheme="minorHAnsi"/>
          <w:sz w:val="24"/>
          <w:szCs w:val="24"/>
          <w:lang w:val="es-CO"/>
        </w:rPr>
        <w:t>,</w:t>
      </w:r>
      <w:r w:rsidRPr="00C316F8">
        <w:rPr>
          <w:rFonts w:cstheme="minorHAnsi"/>
          <w:sz w:val="24"/>
          <w:szCs w:val="24"/>
          <w:lang w:val="es-CO"/>
        </w:rPr>
        <w:t xml:space="preserve">3), material inadecuado para paredes exteriores </w:t>
      </w:r>
      <w:r w:rsidR="00F17A76" w:rsidRPr="00C316F8">
        <w:rPr>
          <w:rFonts w:cstheme="minorHAnsi"/>
          <w:sz w:val="24"/>
          <w:szCs w:val="24"/>
          <w:lang w:val="es-CO"/>
        </w:rPr>
        <w:t>(0,1)</w:t>
      </w:r>
      <w:r w:rsidRPr="00C316F8">
        <w:rPr>
          <w:rFonts w:cstheme="minorHAnsi"/>
          <w:sz w:val="24"/>
          <w:szCs w:val="24"/>
          <w:lang w:val="es-CO"/>
        </w:rPr>
        <w:t xml:space="preserve">, material inadecuado de pisos </w:t>
      </w:r>
      <w:r w:rsidR="00F17A76" w:rsidRPr="00C316F8">
        <w:rPr>
          <w:rFonts w:cstheme="minorHAnsi"/>
          <w:sz w:val="24"/>
          <w:szCs w:val="24"/>
          <w:lang w:val="es-CO"/>
        </w:rPr>
        <w:t>(0,2)</w:t>
      </w:r>
      <w:r w:rsidRPr="00C316F8">
        <w:rPr>
          <w:rFonts w:cstheme="minorHAnsi"/>
          <w:sz w:val="24"/>
          <w:szCs w:val="24"/>
          <w:lang w:val="es-CO"/>
        </w:rPr>
        <w:t>, rezago escolar (0</w:t>
      </w:r>
      <w:r w:rsidR="00F17A76" w:rsidRPr="00C316F8">
        <w:rPr>
          <w:rFonts w:cstheme="minorHAnsi"/>
          <w:sz w:val="24"/>
          <w:szCs w:val="24"/>
          <w:lang w:val="es-CO"/>
        </w:rPr>
        <w:t>,</w:t>
      </w:r>
      <w:r w:rsidRPr="00C316F8">
        <w:rPr>
          <w:rFonts w:cstheme="minorHAnsi"/>
          <w:sz w:val="24"/>
          <w:szCs w:val="24"/>
          <w:lang w:val="es-CO"/>
        </w:rPr>
        <w:t xml:space="preserve">6) y trabajo informal (1,8). En las áreas rurales y centros poblados se observa que los cambios de los dominios entre 2019 y 2020 más positivos son en barreras a servicios de cuidados de la primera infancia (1,3), </w:t>
      </w:r>
      <w:r w:rsidR="00867004" w:rsidRPr="00C316F8">
        <w:rPr>
          <w:rFonts w:cstheme="minorHAnsi"/>
          <w:sz w:val="24"/>
          <w:szCs w:val="24"/>
          <w:lang w:val="es-CO"/>
        </w:rPr>
        <w:t>desempleo</w:t>
      </w:r>
      <w:r w:rsidRPr="00C316F8">
        <w:rPr>
          <w:rFonts w:cstheme="minorHAnsi"/>
          <w:sz w:val="24"/>
          <w:szCs w:val="24"/>
          <w:lang w:val="es-CO"/>
        </w:rPr>
        <w:t xml:space="preserve"> de larga duración (2.1), inasistencia escolar (25</w:t>
      </w:r>
      <w:r w:rsidR="00F17A76" w:rsidRPr="00C316F8">
        <w:rPr>
          <w:rFonts w:cstheme="minorHAnsi"/>
          <w:sz w:val="24"/>
          <w:szCs w:val="24"/>
          <w:lang w:val="es-CO"/>
        </w:rPr>
        <w:t>,</w:t>
      </w:r>
      <w:r w:rsidRPr="00C316F8">
        <w:rPr>
          <w:rFonts w:cstheme="minorHAnsi"/>
          <w:sz w:val="24"/>
          <w:szCs w:val="24"/>
          <w:lang w:val="es-CO"/>
        </w:rPr>
        <w:t>5)</w:t>
      </w:r>
      <w:r w:rsidR="003D48EB"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F09B7" w:rsidRPr="00C316F8">
        <w:rPr>
          <w:rFonts w:cstheme="minorHAnsi"/>
          <w:sz w:val="24"/>
          <w:szCs w:val="24"/>
          <w:lang w:val="es-CO"/>
        </w:rPr>
        <w:instrText xml:space="preserve"> ADDIN ZOTERO_ITEM CSL_CITATION {"citationID":"XmaRzvUy","properties":{"formattedCitation":"(56)","plainCitation":"(56)","noteIndex":0},"citationItems":[{"id":474,"uris":["http://zotero.org/users/5785509/items/L2XQUVFD"],"itemData":{"id":474,"type":"document","title":"presentacion-rueda-de-prensa-pobreza-multidimensional-20.pdf","URL":"https://www.dane.gov.co/files/investigaciones/condiciones_vida/pobreza/2020/presentacion-rueda-de-prensa-pobreza-multidimensional-20.pdf","accessed":{"date-parts":[["2022",4,23]]}}}],"schema":"https://github.com/citation-style-language/schema/raw/master/csl-citation.json"} </w:instrText>
      </w:r>
      <w:r w:rsidRPr="00C316F8">
        <w:rPr>
          <w:rFonts w:cstheme="minorHAnsi"/>
          <w:sz w:val="24"/>
          <w:szCs w:val="24"/>
        </w:rPr>
        <w:fldChar w:fldCharType="separate"/>
      </w:r>
      <w:r w:rsidR="00CF09B7" w:rsidRPr="00C316F8">
        <w:rPr>
          <w:rFonts w:ascii="Calibri" w:hAnsi="Calibri" w:cs="Calibri"/>
          <w:sz w:val="24"/>
          <w:lang w:val="es-CO"/>
        </w:rPr>
        <w:t>(56)</w:t>
      </w:r>
      <w:r w:rsidRPr="00C316F8">
        <w:rPr>
          <w:rFonts w:cstheme="minorHAnsi"/>
          <w:sz w:val="24"/>
          <w:szCs w:val="24"/>
        </w:rPr>
        <w:fldChar w:fldCharType="end"/>
      </w:r>
    </w:p>
    <w:p w14:paraId="562C7193" w14:textId="6E6AB65E" w:rsidR="00464146" w:rsidRPr="00C316F8" w:rsidRDefault="00464146" w:rsidP="003B711F">
      <w:pPr>
        <w:jc w:val="both"/>
        <w:rPr>
          <w:rFonts w:cstheme="minorHAnsi"/>
          <w:sz w:val="24"/>
          <w:szCs w:val="24"/>
          <w:lang w:val="es-ES"/>
        </w:rPr>
      </w:pPr>
      <w:r w:rsidRPr="00C316F8">
        <w:rPr>
          <w:rFonts w:cstheme="minorHAnsi"/>
          <w:sz w:val="24"/>
          <w:szCs w:val="24"/>
          <w:lang w:val="es-CO"/>
        </w:rPr>
        <w:t xml:space="preserve">Adicionalmente este índice varía entre los departamentos de Colombia entre el año 2019 y 2020, como se observa en la figura 6  </w:t>
      </w:r>
      <w:r w:rsidRPr="00C316F8">
        <w:rPr>
          <w:rFonts w:cstheme="minorHAnsi"/>
          <w:sz w:val="24"/>
          <w:szCs w:val="24"/>
        </w:rPr>
        <w:fldChar w:fldCharType="begin"/>
      </w:r>
      <w:r w:rsidR="00CF09B7" w:rsidRPr="00C316F8">
        <w:rPr>
          <w:rFonts w:cstheme="minorHAnsi"/>
          <w:sz w:val="24"/>
          <w:szCs w:val="24"/>
          <w:lang w:val="es-CO"/>
        </w:rPr>
        <w:instrText xml:space="preserve"> ADDIN ZOTERO_ITEM CSL_CITATION {"citationID":"RLYnmKDQ","properties":{"formattedCitation":"(57)","plainCitation":"(57)","noteIndex":0},"citationItems":[{"id":473,"uris":["http://zotero.org/users/5785509/items/825BIM3B"],"itemData":{"id":473,"type":"document","title":"presentacion-extendida-pobreza-multidimensional-20.pdf","URL":"https://www.dane.gov.co/files/investigaciones/condiciones_vida/pobreza/2020/presentacion-extendida-pobreza-multidimensional-20.pdf","accessed":{"date-parts":[["2022",4,23]]}}}],"schema":"https://github.com/citation-style-language/schema/raw/master/csl-citation.json"} </w:instrText>
      </w:r>
      <w:r w:rsidRPr="00C316F8">
        <w:rPr>
          <w:rFonts w:cstheme="minorHAnsi"/>
          <w:sz w:val="24"/>
          <w:szCs w:val="24"/>
        </w:rPr>
        <w:fldChar w:fldCharType="separate"/>
      </w:r>
      <w:r w:rsidR="00CF09B7" w:rsidRPr="00C316F8">
        <w:rPr>
          <w:rFonts w:ascii="Calibri" w:hAnsi="Calibri" w:cs="Calibri"/>
          <w:sz w:val="24"/>
          <w:lang w:val="es-CO"/>
        </w:rPr>
        <w:t>(57)</w:t>
      </w:r>
      <w:r w:rsidRPr="00C316F8">
        <w:rPr>
          <w:rFonts w:cstheme="minorHAnsi"/>
          <w:sz w:val="24"/>
          <w:szCs w:val="24"/>
        </w:rPr>
        <w:fldChar w:fldCharType="end"/>
      </w:r>
      <w:r w:rsidR="003D48EB" w:rsidRPr="00C316F8">
        <w:rPr>
          <w:rFonts w:cstheme="minorHAnsi"/>
          <w:sz w:val="24"/>
          <w:szCs w:val="24"/>
          <w:lang w:val="es-CO"/>
        </w:rPr>
        <w:t>,</w:t>
      </w:r>
      <w:r w:rsidRPr="00C316F8">
        <w:rPr>
          <w:rFonts w:cstheme="minorHAnsi"/>
          <w:sz w:val="24"/>
          <w:szCs w:val="24"/>
          <w:lang w:val="es-CO"/>
        </w:rPr>
        <w:t xml:space="preserve"> en los extremos se encuentran departamentos como </w:t>
      </w:r>
      <w:r w:rsidRPr="00C316F8">
        <w:rPr>
          <w:rFonts w:cstheme="minorHAnsi"/>
          <w:sz w:val="24"/>
          <w:szCs w:val="24"/>
          <w:lang w:val="es-ES"/>
        </w:rPr>
        <w:t>Vichada, Vaupés, Guainía, La Guajira, Chocó, Amazonas, con los índices de pobreza más altos, encontrándose muy por encima del valor nacional, por otra parte, Bogotá, Valle del Cauca, Cundinamarca y Boyacá presentan valores menores mostrando la gran desigualdad en el territorio nacional estando por debajo del promedio nacional.</w:t>
      </w:r>
    </w:p>
    <w:p w14:paraId="3FF8DC44" w14:textId="67ECD4F4" w:rsidR="00882BC4" w:rsidRPr="00C316F8" w:rsidRDefault="00882BC4" w:rsidP="003B711F">
      <w:pPr>
        <w:jc w:val="both"/>
        <w:rPr>
          <w:rFonts w:cstheme="minorHAnsi"/>
          <w:sz w:val="24"/>
          <w:szCs w:val="24"/>
          <w:lang w:val="es-CO"/>
        </w:rPr>
      </w:pPr>
      <w:r w:rsidRPr="00C316F8">
        <w:rPr>
          <w:rFonts w:cstheme="minorHAnsi"/>
          <w:sz w:val="24"/>
          <w:szCs w:val="24"/>
          <w:lang w:val="es-CO"/>
        </w:rPr>
        <w:lastRenderedPageBreak/>
        <w:t xml:space="preserve">Entre 2021 y 2022, Colombia experimentó una reducción significativa en la pobreza multidimensional, pasando del 16,0% al 12,9% de la población, lo que representa una disminución de 3,1 puntos porcentuales. Esta mejora se observó tanto en zonas urbanas, donde la incidencia bajó de 11,5% a 8,7%, como en zonas rurales, con una reducción de 31,1% a 27,3%. A nivel regional, aunque todas las regiones mostraron disminuciones, persistieron marcadas brechas, destacando la región Caribe con la incidencia más alta (21,4% en 2022) y Bogotá con la más baja (3,8%). La pobreza multidimensional continúa siendo más alta en hogares con jefatura femenina, manteniendo una brecha de aproximadamente 2,1 puntos porcentuales entre 2021 y 2022 </w:t>
      </w:r>
      <w:r w:rsidR="009A3F94" w:rsidRPr="00C316F8">
        <w:rPr>
          <w:rFonts w:cstheme="minorHAnsi"/>
          <w:sz w:val="24"/>
          <w:szCs w:val="24"/>
          <w:lang w:val="es-CO"/>
        </w:rPr>
        <w:t>(Tabla 5)</w:t>
      </w:r>
      <w:r w:rsidR="003D48EB" w:rsidRPr="00C316F8">
        <w:rPr>
          <w:rFonts w:cstheme="minorHAnsi"/>
          <w:sz w:val="24"/>
          <w:szCs w:val="24"/>
          <w:lang w:val="es-CO"/>
        </w:rPr>
        <w:t>.</w:t>
      </w:r>
      <w:r w:rsidR="00080292" w:rsidRPr="00C316F8">
        <w:rPr>
          <w:rFonts w:cstheme="minorHAnsi"/>
          <w:sz w:val="24"/>
          <w:szCs w:val="24"/>
          <w:lang w:val="es-CO"/>
        </w:rPr>
        <w:t xml:space="preserve"> </w:t>
      </w:r>
      <w:r w:rsidRPr="00C316F8">
        <w:rPr>
          <w:rFonts w:cstheme="minorHAnsi"/>
          <w:sz w:val="24"/>
          <w:szCs w:val="24"/>
          <w:lang w:val="es-CO"/>
        </w:rPr>
        <w:fldChar w:fldCharType="begin"/>
      </w:r>
      <w:r w:rsidR="00CF09B7" w:rsidRPr="00C316F8">
        <w:rPr>
          <w:rFonts w:cstheme="minorHAnsi"/>
          <w:sz w:val="24"/>
          <w:szCs w:val="24"/>
          <w:lang w:val="es-CO"/>
        </w:rPr>
        <w:instrText xml:space="preserve"> ADDIN ZOTERO_ITEM CSL_CITATION {"citationID":"4oDRqCS4","properties":{"formattedCitation":"(58,59)","plainCitation":"(58,59)","noteIndex":0},"citationItems":[{"id":1738,"uris":["http://zotero.org/users/5785509/items/FBGDWAC3"],"itemData":{"id":1738,"type":"webpage","title":"DANE - Pobreza multidimensional 2022","URL":"https://www.dane.gov.co/index.php/estadisticas-por-tema/pobreza-y-condiciones-de-vida/pobreza-multidimensional/pobreza-multidimensional-2022","accessed":{"date-parts":[["2025",5,13]]}}},{"id":1737,"uris":["http://zotero.org/users/5785509/items/NRSBJ729"],"itemData":{"id":1737,"type":"webpage","title":"DANE - Pobreza multidimensional 2021","URL":"https://www.dane.gov.co/index.php/estadisticas-por-tema/pobreza-y-condiciones-de-vida/pobreza-multidimensional/pobreza-multidimensional-2021","accessed":{"date-parts":[["2025",5,13]]}}}],"schema":"https://github.com/citation-style-language/schema/raw/master/csl-citation.json"} </w:instrText>
      </w:r>
      <w:r w:rsidRPr="00C316F8">
        <w:rPr>
          <w:rFonts w:cstheme="minorHAnsi"/>
          <w:sz w:val="24"/>
          <w:szCs w:val="24"/>
          <w:lang w:val="es-CO"/>
        </w:rPr>
        <w:fldChar w:fldCharType="separate"/>
      </w:r>
      <w:r w:rsidR="00CF09B7" w:rsidRPr="00C316F8">
        <w:rPr>
          <w:rFonts w:ascii="Calibri" w:hAnsi="Calibri" w:cs="Calibri"/>
          <w:sz w:val="24"/>
        </w:rPr>
        <w:t>(58,59)</w:t>
      </w:r>
      <w:r w:rsidRPr="00C316F8">
        <w:rPr>
          <w:rFonts w:cstheme="minorHAnsi"/>
          <w:sz w:val="24"/>
          <w:szCs w:val="24"/>
          <w:lang w:val="es-CO"/>
        </w:rPr>
        <w:fldChar w:fldCharType="end"/>
      </w:r>
    </w:p>
    <w:p w14:paraId="2FB74444" w14:textId="77777777" w:rsidR="00080292" w:rsidRPr="00C316F8" w:rsidRDefault="00080292" w:rsidP="003B711F">
      <w:pPr>
        <w:jc w:val="both"/>
        <w:rPr>
          <w:rFonts w:cstheme="minorHAnsi"/>
          <w:sz w:val="24"/>
          <w:szCs w:val="24"/>
          <w:lang w:val="es-CO"/>
        </w:rPr>
      </w:pPr>
    </w:p>
    <w:p w14:paraId="1D8534F5" w14:textId="28A82147" w:rsidR="00151FC0" w:rsidRPr="00C316F8" w:rsidRDefault="009A3F94" w:rsidP="009A3F94">
      <w:pPr>
        <w:pStyle w:val="Descripcin"/>
        <w:rPr>
          <w:rFonts w:asciiTheme="minorHAnsi" w:hAnsiTheme="minorHAnsi" w:cstheme="minorHAnsi"/>
          <w:b/>
          <w:bCs/>
          <w:i w:val="0"/>
          <w:iCs w:val="0"/>
          <w:color w:val="auto"/>
          <w:sz w:val="24"/>
          <w:szCs w:val="24"/>
        </w:rPr>
      </w:pPr>
      <w:bookmarkStart w:id="31" w:name="_Toc229834693"/>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5</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Variación CMPI 2021-2022</w:t>
      </w:r>
      <w:bookmarkEnd w:id="31"/>
    </w:p>
    <w:tbl>
      <w:tblPr>
        <w:tblStyle w:val="Tablaconcuadrcula"/>
        <w:tblW w:w="0" w:type="auto"/>
        <w:tblLook w:val="04A0" w:firstRow="1" w:lastRow="0" w:firstColumn="1" w:lastColumn="0" w:noHBand="0" w:noVBand="1"/>
      </w:tblPr>
      <w:tblGrid>
        <w:gridCol w:w="3284"/>
        <w:gridCol w:w="932"/>
        <w:gridCol w:w="813"/>
        <w:gridCol w:w="1583"/>
      </w:tblGrid>
      <w:tr w:rsidR="00882BC4" w:rsidRPr="00C316F8" w14:paraId="4FEC2A2F" w14:textId="77777777" w:rsidTr="00882BC4">
        <w:tc>
          <w:tcPr>
            <w:tcW w:w="0" w:type="auto"/>
            <w:hideMark/>
          </w:tcPr>
          <w:p w14:paraId="4926FE42" w14:textId="77777777" w:rsidR="00882BC4" w:rsidRPr="00C316F8" w:rsidRDefault="00882BC4" w:rsidP="003B711F">
            <w:pPr>
              <w:jc w:val="both"/>
              <w:rPr>
                <w:rFonts w:cstheme="minorHAnsi"/>
                <w:sz w:val="24"/>
                <w:szCs w:val="24"/>
              </w:rPr>
            </w:pPr>
            <w:r w:rsidRPr="00C316F8">
              <w:rPr>
                <w:rFonts w:cstheme="minorHAnsi"/>
                <w:sz w:val="24"/>
                <w:szCs w:val="24"/>
              </w:rPr>
              <w:t>Indicador</w:t>
            </w:r>
          </w:p>
        </w:tc>
        <w:tc>
          <w:tcPr>
            <w:tcW w:w="0" w:type="auto"/>
            <w:hideMark/>
          </w:tcPr>
          <w:p w14:paraId="77F516D8" w14:textId="77777777" w:rsidR="00882BC4" w:rsidRPr="00C316F8" w:rsidRDefault="00882BC4" w:rsidP="003B711F">
            <w:pPr>
              <w:jc w:val="both"/>
              <w:rPr>
                <w:rFonts w:cstheme="minorHAnsi"/>
                <w:sz w:val="24"/>
                <w:szCs w:val="24"/>
              </w:rPr>
            </w:pPr>
            <w:r w:rsidRPr="00C316F8">
              <w:rPr>
                <w:rFonts w:cstheme="minorHAnsi"/>
                <w:sz w:val="24"/>
                <w:szCs w:val="24"/>
              </w:rPr>
              <w:t>2021</w:t>
            </w:r>
          </w:p>
        </w:tc>
        <w:tc>
          <w:tcPr>
            <w:tcW w:w="0" w:type="auto"/>
            <w:hideMark/>
          </w:tcPr>
          <w:p w14:paraId="107A59C1" w14:textId="77777777" w:rsidR="00882BC4" w:rsidRPr="00C316F8" w:rsidRDefault="00882BC4" w:rsidP="003B711F">
            <w:pPr>
              <w:jc w:val="both"/>
              <w:rPr>
                <w:rFonts w:cstheme="minorHAnsi"/>
                <w:sz w:val="24"/>
                <w:szCs w:val="24"/>
              </w:rPr>
            </w:pPr>
            <w:r w:rsidRPr="00C316F8">
              <w:rPr>
                <w:rFonts w:cstheme="minorHAnsi"/>
                <w:sz w:val="24"/>
                <w:szCs w:val="24"/>
              </w:rPr>
              <w:t>2022</w:t>
            </w:r>
          </w:p>
        </w:tc>
        <w:tc>
          <w:tcPr>
            <w:tcW w:w="0" w:type="auto"/>
            <w:hideMark/>
          </w:tcPr>
          <w:p w14:paraId="40D1E933" w14:textId="77777777" w:rsidR="00882BC4" w:rsidRPr="00C316F8" w:rsidRDefault="00882BC4" w:rsidP="003B711F">
            <w:pPr>
              <w:jc w:val="both"/>
              <w:rPr>
                <w:rFonts w:cstheme="minorHAnsi"/>
                <w:sz w:val="24"/>
                <w:szCs w:val="24"/>
              </w:rPr>
            </w:pPr>
            <w:r w:rsidRPr="00C316F8">
              <w:rPr>
                <w:rFonts w:cstheme="minorHAnsi"/>
                <w:sz w:val="24"/>
                <w:szCs w:val="24"/>
              </w:rPr>
              <w:t>Variación (pp)</w:t>
            </w:r>
          </w:p>
        </w:tc>
      </w:tr>
      <w:tr w:rsidR="00882BC4" w:rsidRPr="00C316F8" w14:paraId="692F8383" w14:textId="77777777" w:rsidTr="00882BC4">
        <w:tc>
          <w:tcPr>
            <w:tcW w:w="0" w:type="auto"/>
            <w:hideMark/>
          </w:tcPr>
          <w:p w14:paraId="321B330E" w14:textId="77777777" w:rsidR="00882BC4" w:rsidRPr="00C316F8" w:rsidRDefault="00882BC4" w:rsidP="003B711F">
            <w:pPr>
              <w:jc w:val="both"/>
              <w:rPr>
                <w:rFonts w:cstheme="minorHAnsi"/>
                <w:sz w:val="24"/>
                <w:szCs w:val="24"/>
              </w:rPr>
            </w:pPr>
            <w:r w:rsidRPr="00C316F8">
              <w:rPr>
                <w:rFonts w:cstheme="minorHAnsi"/>
                <w:sz w:val="24"/>
                <w:szCs w:val="24"/>
              </w:rPr>
              <w:t>Pobreza multidimensional total</w:t>
            </w:r>
          </w:p>
        </w:tc>
        <w:tc>
          <w:tcPr>
            <w:tcW w:w="0" w:type="auto"/>
            <w:hideMark/>
          </w:tcPr>
          <w:p w14:paraId="58825BBA" w14:textId="77777777" w:rsidR="00882BC4" w:rsidRPr="00C316F8" w:rsidRDefault="00882BC4" w:rsidP="003B711F">
            <w:pPr>
              <w:jc w:val="both"/>
              <w:rPr>
                <w:rFonts w:cstheme="minorHAnsi"/>
                <w:sz w:val="24"/>
                <w:szCs w:val="24"/>
              </w:rPr>
            </w:pPr>
            <w:r w:rsidRPr="00C316F8">
              <w:rPr>
                <w:rFonts w:cstheme="minorHAnsi"/>
                <w:sz w:val="24"/>
                <w:szCs w:val="24"/>
              </w:rPr>
              <w:t>16,0%</w:t>
            </w:r>
          </w:p>
        </w:tc>
        <w:tc>
          <w:tcPr>
            <w:tcW w:w="0" w:type="auto"/>
            <w:hideMark/>
          </w:tcPr>
          <w:p w14:paraId="1C05DEE4" w14:textId="77777777" w:rsidR="00882BC4" w:rsidRPr="00C316F8" w:rsidRDefault="00882BC4" w:rsidP="003B711F">
            <w:pPr>
              <w:jc w:val="both"/>
              <w:rPr>
                <w:rFonts w:cstheme="minorHAnsi"/>
                <w:sz w:val="24"/>
                <w:szCs w:val="24"/>
              </w:rPr>
            </w:pPr>
            <w:r w:rsidRPr="00C316F8">
              <w:rPr>
                <w:rFonts w:cstheme="minorHAnsi"/>
                <w:sz w:val="24"/>
                <w:szCs w:val="24"/>
              </w:rPr>
              <w:t>12,9%</w:t>
            </w:r>
          </w:p>
        </w:tc>
        <w:tc>
          <w:tcPr>
            <w:tcW w:w="0" w:type="auto"/>
            <w:hideMark/>
          </w:tcPr>
          <w:p w14:paraId="28448F05" w14:textId="77777777" w:rsidR="00882BC4" w:rsidRPr="00C316F8" w:rsidRDefault="00882BC4" w:rsidP="003B711F">
            <w:pPr>
              <w:jc w:val="both"/>
              <w:rPr>
                <w:rFonts w:cstheme="minorHAnsi"/>
                <w:sz w:val="24"/>
                <w:szCs w:val="24"/>
              </w:rPr>
            </w:pPr>
            <w:r w:rsidRPr="00C316F8">
              <w:rPr>
                <w:rFonts w:cstheme="minorHAnsi"/>
                <w:sz w:val="24"/>
                <w:szCs w:val="24"/>
              </w:rPr>
              <w:t>-3,1</w:t>
            </w:r>
          </w:p>
        </w:tc>
      </w:tr>
      <w:tr w:rsidR="00882BC4" w:rsidRPr="00C316F8" w14:paraId="6B20A9F3" w14:textId="77777777" w:rsidTr="00882BC4">
        <w:tc>
          <w:tcPr>
            <w:tcW w:w="0" w:type="auto"/>
            <w:hideMark/>
          </w:tcPr>
          <w:p w14:paraId="5ED52A7B" w14:textId="77777777" w:rsidR="00882BC4" w:rsidRPr="00C316F8" w:rsidRDefault="00882BC4" w:rsidP="003B711F">
            <w:pPr>
              <w:jc w:val="both"/>
              <w:rPr>
                <w:rFonts w:cstheme="minorHAnsi"/>
                <w:sz w:val="24"/>
                <w:szCs w:val="24"/>
              </w:rPr>
            </w:pPr>
            <w:r w:rsidRPr="00C316F8">
              <w:rPr>
                <w:rFonts w:cstheme="minorHAnsi"/>
                <w:sz w:val="24"/>
                <w:szCs w:val="24"/>
              </w:rPr>
              <w:t>Zonas urbanas</w:t>
            </w:r>
          </w:p>
        </w:tc>
        <w:tc>
          <w:tcPr>
            <w:tcW w:w="0" w:type="auto"/>
            <w:hideMark/>
          </w:tcPr>
          <w:p w14:paraId="32CB8E1F" w14:textId="77777777" w:rsidR="00882BC4" w:rsidRPr="00C316F8" w:rsidRDefault="00882BC4" w:rsidP="003B711F">
            <w:pPr>
              <w:jc w:val="both"/>
              <w:rPr>
                <w:rFonts w:cstheme="minorHAnsi"/>
                <w:sz w:val="24"/>
                <w:szCs w:val="24"/>
              </w:rPr>
            </w:pPr>
            <w:r w:rsidRPr="00C316F8">
              <w:rPr>
                <w:rFonts w:cstheme="minorHAnsi"/>
                <w:sz w:val="24"/>
                <w:szCs w:val="24"/>
              </w:rPr>
              <w:t>11,5%</w:t>
            </w:r>
          </w:p>
        </w:tc>
        <w:tc>
          <w:tcPr>
            <w:tcW w:w="0" w:type="auto"/>
            <w:hideMark/>
          </w:tcPr>
          <w:p w14:paraId="46180225" w14:textId="77777777" w:rsidR="00882BC4" w:rsidRPr="00C316F8" w:rsidRDefault="00882BC4" w:rsidP="003B711F">
            <w:pPr>
              <w:jc w:val="both"/>
              <w:rPr>
                <w:rFonts w:cstheme="minorHAnsi"/>
                <w:sz w:val="24"/>
                <w:szCs w:val="24"/>
              </w:rPr>
            </w:pPr>
            <w:r w:rsidRPr="00C316F8">
              <w:rPr>
                <w:rFonts w:cstheme="minorHAnsi"/>
                <w:sz w:val="24"/>
                <w:szCs w:val="24"/>
              </w:rPr>
              <w:t>8,7%</w:t>
            </w:r>
          </w:p>
        </w:tc>
        <w:tc>
          <w:tcPr>
            <w:tcW w:w="0" w:type="auto"/>
            <w:hideMark/>
          </w:tcPr>
          <w:p w14:paraId="221718D7" w14:textId="77777777" w:rsidR="00882BC4" w:rsidRPr="00C316F8" w:rsidRDefault="00882BC4" w:rsidP="003B711F">
            <w:pPr>
              <w:jc w:val="both"/>
              <w:rPr>
                <w:rFonts w:cstheme="minorHAnsi"/>
                <w:sz w:val="24"/>
                <w:szCs w:val="24"/>
              </w:rPr>
            </w:pPr>
            <w:r w:rsidRPr="00C316F8">
              <w:rPr>
                <w:rFonts w:cstheme="minorHAnsi"/>
                <w:sz w:val="24"/>
                <w:szCs w:val="24"/>
              </w:rPr>
              <w:t>-2,8</w:t>
            </w:r>
          </w:p>
        </w:tc>
      </w:tr>
      <w:tr w:rsidR="00882BC4" w:rsidRPr="00C316F8" w14:paraId="143B5933" w14:textId="77777777" w:rsidTr="00882BC4">
        <w:tc>
          <w:tcPr>
            <w:tcW w:w="0" w:type="auto"/>
            <w:hideMark/>
          </w:tcPr>
          <w:p w14:paraId="5F24B1CE" w14:textId="77777777" w:rsidR="00882BC4" w:rsidRPr="00C316F8" w:rsidRDefault="00882BC4" w:rsidP="003B711F">
            <w:pPr>
              <w:jc w:val="both"/>
              <w:rPr>
                <w:rFonts w:cstheme="minorHAnsi"/>
                <w:sz w:val="24"/>
                <w:szCs w:val="24"/>
              </w:rPr>
            </w:pPr>
            <w:r w:rsidRPr="00C316F8">
              <w:rPr>
                <w:rFonts w:cstheme="minorHAnsi"/>
                <w:sz w:val="24"/>
                <w:szCs w:val="24"/>
              </w:rPr>
              <w:t>Zonas rurales</w:t>
            </w:r>
          </w:p>
        </w:tc>
        <w:tc>
          <w:tcPr>
            <w:tcW w:w="0" w:type="auto"/>
            <w:hideMark/>
          </w:tcPr>
          <w:p w14:paraId="1DC626A5" w14:textId="77777777" w:rsidR="00882BC4" w:rsidRPr="00C316F8" w:rsidRDefault="00882BC4" w:rsidP="003B711F">
            <w:pPr>
              <w:jc w:val="both"/>
              <w:rPr>
                <w:rFonts w:cstheme="minorHAnsi"/>
                <w:sz w:val="24"/>
                <w:szCs w:val="24"/>
              </w:rPr>
            </w:pPr>
            <w:r w:rsidRPr="00C316F8">
              <w:rPr>
                <w:rFonts w:cstheme="minorHAnsi"/>
                <w:sz w:val="24"/>
                <w:szCs w:val="24"/>
              </w:rPr>
              <w:t>31,1%</w:t>
            </w:r>
          </w:p>
        </w:tc>
        <w:tc>
          <w:tcPr>
            <w:tcW w:w="0" w:type="auto"/>
            <w:hideMark/>
          </w:tcPr>
          <w:p w14:paraId="55C5569D" w14:textId="77777777" w:rsidR="00882BC4" w:rsidRPr="00C316F8" w:rsidRDefault="00882BC4" w:rsidP="003B711F">
            <w:pPr>
              <w:jc w:val="both"/>
              <w:rPr>
                <w:rFonts w:cstheme="minorHAnsi"/>
                <w:sz w:val="24"/>
                <w:szCs w:val="24"/>
              </w:rPr>
            </w:pPr>
            <w:r w:rsidRPr="00C316F8">
              <w:rPr>
                <w:rFonts w:cstheme="minorHAnsi"/>
                <w:sz w:val="24"/>
                <w:szCs w:val="24"/>
              </w:rPr>
              <w:t>27,3%</w:t>
            </w:r>
          </w:p>
        </w:tc>
        <w:tc>
          <w:tcPr>
            <w:tcW w:w="0" w:type="auto"/>
            <w:hideMark/>
          </w:tcPr>
          <w:p w14:paraId="0E98BA9A" w14:textId="77777777" w:rsidR="00882BC4" w:rsidRPr="00C316F8" w:rsidRDefault="00882BC4" w:rsidP="003B711F">
            <w:pPr>
              <w:jc w:val="both"/>
              <w:rPr>
                <w:rFonts w:cstheme="minorHAnsi"/>
                <w:sz w:val="24"/>
                <w:szCs w:val="24"/>
              </w:rPr>
            </w:pPr>
            <w:r w:rsidRPr="00C316F8">
              <w:rPr>
                <w:rFonts w:cstheme="minorHAnsi"/>
                <w:sz w:val="24"/>
                <w:szCs w:val="24"/>
              </w:rPr>
              <w:t>-3,8</w:t>
            </w:r>
          </w:p>
        </w:tc>
      </w:tr>
      <w:tr w:rsidR="00882BC4" w:rsidRPr="00C316F8" w14:paraId="082E4546" w14:textId="77777777" w:rsidTr="00882BC4">
        <w:tc>
          <w:tcPr>
            <w:tcW w:w="0" w:type="auto"/>
            <w:hideMark/>
          </w:tcPr>
          <w:p w14:paraId="43D9B64B" w14:textId="77777777" w:rsidR="00882BC4" w:rsidRPr="00C316F8" w:rsidRDefault="00882BC4" w:rsidP="003B711F">
            <w:pPr>
              <w:jc w:val="both"/>
              <w:rPr>
                <w:rFonts w:cstheme="minorHAnsi"/>
                <w:sz w:val="24"/>
                <w:szCs w:val="24"/>
              </w:rPr>
            </w:pPr>
            <w:r w:rsidRPr="00C316F8">
              <w:rPr>
                <w:rFonts w:cstheme="minorHAnsi"/>
                <w:sz w:val="24"/>
                <w:szCs w:val="24"/>
              </w:rPr>
              <w:t>Región Caribe</w:t>
            </w:r>
          </w:p>
        </w:tc>
        <w:tc>
          <w:tcPr>
            <w:tcW w:w="0" w:type="auto"/>
            <w:hideMark/>
          </w:tcPr>
          <w:p w14:paraId="12334100" w14:textId="77777777" w:rsidR="00882BC4" w:rsidRPr="00C316F8" w:rsidRDefault="00882BC4" w:rsidP="003B711F">
            <w:pPr>
              <w:jc w:val="both"/>
              <w:rPr>
                <w:rFonts w:cstheme="minorHAnsi"/>
                <w:sz w:val="24"/>
                <w:szCs w:val="24"/>
              </w:rPr>
            </w:pPr>
            <w:r w:rsidRPr="00C316F8">
              <w:rPr>
                <w:rFonts w:cstheme="minorHAnsi"/>
                <w:sz w:val="24"/>
                <w:szCs w:val="24"/>
              </w:rPr>
              <w:t>22,7%</w:t>
            </w:r>
          </w:p>
        </w:tc>
        <w:tc>
          <w:tcPr>
            <w:tcW w:w="0" w:type="auto"/>
            <w:hideMark/>
          </w:tcPr>
          <w:p w14:paraId="53516A1A" w14:textId="77777777" w:rsidR="00882BC4" w:rsidRPr="00C316F8" w:rsidRDefault="00882BC4" w:rsidP="003B711F">
            <w:pPr>
              <w:jc w:val="both"/>
              <w:rPr>
                <w:rFonts w:cstheme="minorHAnsi"/>
                <w:sz w:val="24"/>
                <w:szCs w:val="24"/>
              </w:rPr>
            </w:pPr>
            <w:r w:rsidRPr="00C316F8">
              <w:rPr>
                <w:rFonts w:cstheme="minorHAnsi"/>
                <w:sz w:val="24"/>
                <w:szCs w:val="24"/>
              </w:rPr>
              <w:t>21,4%</w:t>
            </w:r>
          </w:p>
        </w:tc>
        <w:tc>
          <w:tcPr>
            <w:tcW w:w="0" w:type="auto"/>
            <w:hideMark/>
          </w:tcPr>
          <w:p w14:paraId="75603DC3" w14:textId="77777777" w:rsidR="00882BC4" w:rsidRPr="00C316F8" w:rsidRDefault="00882BC4" w:rsidP="003B711F">
            <w:pPr>
              <w:jc w:val="both"/>
              <w:rPr>
                <w:rFonts w:cstheme="minorHAnsi"/>
                <w:sz w:val="24"/>
                <w:szCs w:val="24"/>
              </w:rPr>
            </w:pPr>
            <w:r w:rsidRPr="00C316F8">
              <w:rPr>
                <w:rFonts w:cstheme="minorHAnsi"/>
                <w:sz w:val="24"/>
                <w:szCs w:val="24"/>
              </w:rPr>
              <w:t>-1,3</w:t>
            </w:r>
          </w:p>
        </w:tc>
      </w:tr>
      <w:tr w:rsidR="00882BC4" w:rsidRPr="00C316F8" w14:paraId="3892FC23" w14:textId="77777777" w:rsidTr="00882BC4">
        <w:tc>
          <w:tcPr>
            <w:tcW w:w="0" w:type="auto"/>
            <w:hideMark/>
          </w:tcPr>
          <w:p w14:paraId="72244367" w14:textId="77777777" w:rsidR="00882BC4" w:rsidRPr="00C316F8" w:rsidRDefault="00882BC4" w:rsidP="003B711F">
            <w:pPr>
              <w:jc w:val="both"/>
              <w:rPr>
                <w:rFonts w:cstheme="minorHAnsi"/>
                <w:sz w:val="24"/>
                <w:szCs w:val="24"/>
              </w:rPr>
            </w:pPr>
            <w:r w:rsidRPr="00C316F8">
              <w:rPr>
                <w:rFonts w:cstheme="minorHAnsi"/>
                <w:sz w:val="24"/>
                <w:szCs w:val="24"/>
              </w:rPr>
              <w:t>Bogotá</w:t>
            </w:r>
          </w:p>
        </w:tc>
        <w:tc>
          <w:tcPr>
            <w:tcW w:w="0" w:type="auto"/>
            <w:hideMark/>
          </w:tcPr>
          <w:p w14:paraId="743AB05D" w14:textId="77777777" w:rsidR="00882BC4" w:rsidRPr="00C316F8" w:rsidRDefault="00882BC4" w:rsidP="003B711F">
            <w:pPr>
              <w:jc w:val="both"/>
              <w:rPr>
                <w:rFonts w:cstheme="minorHAnsi"/>
                <w:sz w:val="24"/>
                <w:szCs w:val="24"/>
              </w:rPr>
            </w:pPr>
            <w:r w:rsidRPr="00C316F8">
              <w:rPr>
                <w:rFonts w:cstheme="minorHAnsi"/>
                <w:sz w:val="24"/>
                <w:szCs w:val="24"/>
              </w:rPr>
              <w:t>5,7%</w:t>
            </w:r>
          </w:p>
        </w:tc>
        <w:tc>
          <w:tcPr>
            <w:tcW w:w="0" w:type="auto"/>
            <w:hideMark/>
          </w:tcPr>
          <w:p w14:paraId="0A8CD9FF" w14:textId="77777777" w:rsidR="00882BC4" w:rsidRPr="00C316F8" w:rsidRDefault="00882BC4" w:rsidP="003B711F">
            <w:pPr>
              <w:jc w:val="both"/>
              <w:rPr>
                <w:rFonts w:cstheme="minorHAnsi"/>
                <w:sz w:val="24"/>
                <w:szCs w:val="24"/>
              </w:rPr>
            </w:pPr>
            <w:r w:rsidRPr="00C316F8">
              <w:rPr>
                <w:rFonts w:cstheme="minorHAnsi"/>
                <w:sz w:val="24"/>
                <w:szCs w:val="24"/>
              </w:rPr>
              <w:t>3,8%</w:t>
            </w:r>
          </w:p>
        </w:tc>
        <w:tc>
          <w:tcPr>
            <w:tcW w:w="0" w:type="auto"/>
            <w:hideMark/>
          </w:tcPr>
          <w:p w14:paraId="5893C900" w14:textId="77777777" w:rsidR="00882BC4" w:rsidRPr="00C316F8" w:rsidRDefault="00882BC4" w:rsidP="003B711F">
            <w:pPr>
              <w:jc w:val="both"/>
              <w:rPr>
                <w:rFonts w:cstheme="minorHAnsi"/>
                <w:sz w:val="24"/>
                <w:szCs w:val="24"/>
              </w:rPr>
            </w:pPr>
            <w:r w:rsidRPr="00C316F8">
              <w:rPr>
                <w:rFonts w:cstheme="minorHAnsi"/>
                <w:sz w:val="24"/>
                <w:szCs w:val="24"/>
              </w:rPr>
              <w:t>-1,9</w:t>
            </w:r>
          </w:p>
        </w:tc>
      </w:tr>
      <w:tr w:rsidR="00882BC4" w:rsidRPr="00C316F8" w14:paraId="3A4C569E" w14:textId="77777777" w:rsidTr="00882BC4">
        <w:tc>
          <w:tcPr>
            <w:tcW w:w="0" w:type="auto"/>
            <w:hideMark/>
          </w:tcPr>
          <w:p w14:paraId="79DF9D35" w14:textId="77777777" w:rsidR="00882BC4" w:rsidRPr="00C316F8" w:rsidRDefault="00882BC4" w:rsidP="003B711F">
            <w:pPr>
              <w:jc w:val="both"/>
              <w:rPr>
                <w:rFonts w:cstheme="minorHAnsi"/>
                <w:sz w:val="24"/>
                <w:szCs w:val="24"/>
              </w:rPr>
            </w:pPr>
            <w:r w:rsidRPr="00C316F8">
              <w:rPr>
                <w:rFonts w:cstheme="minorHAnsi"/>
                <w:sz w:val="24"/>
                <w:szCs w:val="24"/>
              </w:rPr>
              <w:t>Hogares con jefatura femenina</w:t>
            </w:r>
          </w:p>
        </w:tc>
        <w:tc>
          <w:tcPr>
            <w:tcW w:w="0" w:type="auto"/>
            <w:hideMark/>
          </w:tcPr>
          <w:p w14:paraId="129EF9EF" w14:textId="77777777" w:rsidR="00882BC4" w:rsidRPr="00C316F8" w:rsidRDefault="00882BC4" w:rsidP="003B711F">
            <w:pPr>
              <w:jc w:val="both"/>
              <w:rPr>
                <w:rFonts w:cstheme="minorHAnsi"/>
                <w:sz w:val="24"/>
                <w:szCs w:val="24"/>
              </w:rPr>
            </w:pPr>
            <w:r w:rsidRPr="00C316F8">
              <w:rPr>
                <w:rFonts w:cstheme="minorHAnsi"/>
                <w:sz w:val="24"/>
                <w:szCs w:val="24"/>
              </w:rPr>
              <w:t>16,2%*</w:t>
            </w:r>
          </w:p>
        </w:tc>
        <w:tc>
          <w:tcPr>
            <w:tcW w:w="0" w:type="auto"/>
            <w:hideMark/>
          </w:tcPr>
          <w:p w14:paraId="77E70D14" w14:textId="77777777" w:rsidR="00882BC4" w:rsidRPr="00C316F8" w:rsidRDefault="00882BC4" w:rsidP="003B711F">
            <w:pPr>
              <w:jc w:val="both"/>
              <w:rPr>
                <w:rFonts w:cstheme="minorHAnsi"/>
                <w:sz w:val="24"/>
                <w:szCs w:val="24"/>
              </w:rPr>
            </w:pPr>
            <w:r w:rsidRPr="00C316F8">
              <w:rPr>
                <w:rFonts w:cstheme="minorHAnsi"/>
                <w:sz w:val="24"/>
                <w:szCs w:val="24"/>
              </w:rPr>
              <w:t>14,1%</w:t>
            </w:r>
          </w:p>
        </w:tc>
        <w:tc>
          <w:tcPr>
            <w:tcW w:w="0" w:type="auto"/>
            <w:hideMark/>
          </w:tcPr>
          <w:p w14:paraId="75EDAE80" w14:textId="77777777" w:rsidR="00882BC4" w:rsidRPr="00C316F8" w:rsidRDefault="00882BC4" w:rsidP="003B711F">
            <w:pPr>
              <w:jc w:val="both"/>
              <w:rPr>
                <w:rFonts w:cstheme="minorHAnsi"/>
                <w:sz w:val="24"/>
                <w:szCs w:val="24"/>
              </w:rPr>
            </w:pPr>
            <w:r w:rsidRPr="00C316F8">
              <w:rPr>
                <w:rFonts w:cstheme="minorHAnsi"/>
                <w:sz w:val="24"/>
                <w:szCs w:val="24"/>
              </w:rPr>
              <w:t>-2,1</w:t>
            </w:r>
          </w:p>
        </w:tc>
      </w:tr>
      <w:tr w:rsidR="00882BC4" w:rsidRPr="00C316F8" w14:paraId="71E9149A" w14:textId="77777777" w:rsidTr="00882BC4">
        <w:tc>
          <w:tcPr>
            <w:tcW w:w="0" w:type="auto"/>
            <w:hideMark/>
          </w:tcPr>
          <w:p w14:paraId="1DA3B774" w14:textId="77777777" w:rsidR="00882BC4" w:rsidRPr="00C316F8" w:rsidRDefault="00882BC4" w:rsidP="003B711F">
            <w:pPr>
              <w:jc w:val="both"/>
              <w:rPr>
                <w:rFonts w:cstheme="minorHAnsi"/>
                <w:sz w:val="24"/>
                <w:szCs w:val="24"/>
              </w:rPr>
            </w:pPr>
            <w:r w:rsidRPr="00C316F8">
              <w:rPr>
                <w:rFonts w:cstheme="minorHAnsi"/>
                <w:sz w:val="24"/>
                <w:szCs w:val="24"/>
              </w:rPr>
              <w:t>Hogares con jefatura masculina</w:t>
            </w:r>
          </w:p>
        </w:tc>
        <w:tc>
          <w:tcPr>
            <w:tcW w:w="0" w:type="auto"/>
            <w:hideMark/>
          </w:tcPr>
          <w:p w14:paraId="2CC19EA1" w14:textId="77777777" w:rsidR="00882BC4" w:rsidRPr="00C316F8" w:rsidRDefault="00882BC4" w:rsidP="003B711F">
            <w:pPr>
              <w:jc w:val="both"/>
              <w:rPr>
                <w:rFonts w:cstheme="minorHAnsi"/>
                <w:sz w:val="24"/>
                <w:szCs w:val="24"/>
              </w:rPr>
            </w:pPr>
            <w:r w:rsidRPr="00C316F8">
              <w:rPr>
                <w:rFonts w:cstheme="minorHAnsi"/>
                <w:sz w:val="24"/>
                <w:szCs w:val="24"/>
              </w:rPr>
              <w:t>14,1%*</w:t>
            </w:r>
          </w:p>
        </w:tc>
        <w:tc>
          <w:tcPr>
            <w:tcW w:w="0" w:type="auto"/>
            <w:hideMark/>
          </w:tcPr>
          <w:p w14:paraId="1AEF56E4" w14:textId="77777777" w:rsidR="00882BC4" w:rsidRPr="00C316F8" w:rsidRDefault="00882BC4" w:rsidP="003B711F">
            <w:pPr>
              <w:jc w:val="both"/>
              <w:rPr>
                <w:rFonts w:cstheme="minorHAnsi"/>
                <w:sz w:val="24"/>
                <w:szCs w:val="24"/>
              </w:rPr>
            </w:pPr>
            <w:r w:rsidRPr="00C316F8">
              <w:rPr>
                <w:rFonts w:cstheme="minorHAnsi"/>
                <w:sz w:val="24"/>
                <w:szCs w:val="24"/>
              </w:rPr>
              <w:t>12,0%</w:t>
            </w:r>
          </w:p>
        </w:tc>
        <w:tc>
          <w:tcPr>
            <w:tcW w:w="0" w:type="auto"/>
            <w:hideMark/>
          </w:tcPr>
          <w:p w14:paraId="6AE5187B" w14:textId="77777777" w:rsidR="00882BC4" w:rsidRPr="00C316F8" w:rsidRDefault="00882BC4" w:rsidP="003B711F">
            <w:pPr>
              <w:jc w:val="both"/>
              <w:rPr>
                <w:rFonts w:cstheme="minorHAnsi"/>
                <w:sz w:val="24"/>
                <w:szCs w:val="24"/>
              </w:rPr>
            </w:pPr>
            <w:r w:rsidRPr="00C316F8">
              <w:rPr>
                <w:rFonts w:cstheme="minorHAnsi"/>
                <w:sz w:val="24"/>
                <w:szCs w:val="24"/>
              </w:rPr>
              <w:t>-2,1</w:t>
            </w:r>
          </w:p>
        </w:tc>
      </w:tr>
    </w:tbl>
    <w:p w14:paraId="15C843C5" w14:textId="328A0EFD" w:rsidR="00882BC4" w:rsidRPr="00C316F8" w:rsidRDefault="00882BC4" w:rsidP="003B711F">
      <w:pPr>
        <w:jc w:val="both"/>
        <w:rPr>
          <w:rFonts w:cstheme="minorHAnsi"/>
          <w:sz w:val="24"/>
          <w:szCs w:val="24"/>
          <w:lang w:val="es-CO"/>
        </w:rPr>
      </w:pPr>
      <w:r w:rsidRPr="00C316F8">
        <w:rPr>
          <w:rFonts w:cstheme="minorHAnsi"/>
          <w:sz w:val="24"/>
          <w:szCs w:val="24"/>
          <w:lang w:val="es-CO"/>
        </w:rPr>
        <w:t xml:space="preserve">*Estimaciones aproximadas basadas en diferencias reportadas </w:t>
      </w:r>
      <w:r w:rsidRPr="00C316F8">
        <w:rPr>
          <w:rFonts w:cstheme="minorHAnsi"/>
          <w:sz w:val="24"/>
          <w:szCs w:val="24"/>
          <w:lang w:val="es-CO"/>
        </w:rPr>
        <w:fldChar w:fldCharType="begin"/>
      </w:r>
      <w:r w:rsidR="00CF09B7" w:rsidRPr="00C316F8">
        <w:rPr>
          <w:rFonts w:cstheme="minorHAnsi"/>
          <w:sz w:val="24"/>
          <w:szCs w:val="24"/>
          <w:lang w:val="es-CO"/>
        </w:rPr>
        <w:instrText xml:space="preserve"> ADDIN ZOTERO_ITEM CSL_CITATION {"citationID":"p3YFmCOX","properties":{"formattedCitation":"(58,59)","plainCitation":"(58,59)","noteIndex":0},"citationItems":[{"id":1738,"uris":["http://zotero.org/users/5785509/items/FBGDWAC3"],"itemData":{"id":1738,"type":"webpage","title":"DANE - Pobreza multidimensional 2022","URL":"https://www.dane.gov.co/index.php/estadisticas-por-tema/pobreza-y-condiciones-de-vida/pobreza-multidimensional/pobreza-multidimensional-2022","accessed":{"date-parts":[["2025",5,13]]}}},{"id":1737,"uris":["http://zotero.org/users/5785509/items/NRSBJ729"],"itemData":{"id":1737,"type":"webpage","title":"DANE - Pobreza multidimensional 2021","URL":"https://www.dane.gov.co/index.php/estadisticas-por-tema/pobreza-y-condiciones-de-vida/pobreza-multidimensional/pobreza-multidimensional-2021","accessed":{"date-parts":[["2025",5,13]]}}}],"schema":"https://github.com/citation-style-language/schema/raw/master/csl-citation.json"} </w:instrText>
      </w:r>
      <w:r w:rsidRPr="00C316F8">
        <w:rPr>
          <w:rFonts w:cstheme="minorHAnsi"/>
          <w:sz w:val="24"/>
          <w:szCs w:val="24"/>
          <w:lang w:val="es-CO"/>
        </w:rPr>
        <w:fldChar w:fldCharType="separate"/>
      </w:r>
      <w:r w:rsidR="00CF09B7" w:rsidRPr="00C316F8">
        <w:rPr>
          <w:rFonts w:ascii="Calibri" w:hAnsi="Calibri" w:cs="Calibri"/>
          <w:sz w:val="24"/>
          <w:lang w:val="es-CO"/>
        </w:rPr>
        <w:t>(58,59)</w:t>
      </w:r>
      <w:r w:rsidRPr="00C316F8">
        <w:rPr>
          <w:rFonts w:cstheme="minorHAnsi"/>
          <w:sz w:val="24"/>
          <w:szCs w:val="24"/>
          <w:lang w:val="es-CO"/>
        </w:rPr>
        <w:fldChar w:fldCharType="end"/>
      </w:r>
      <w:r w:rsidRPr="00C316F8">
        <w:rPr>
          <w:rFonts w:cstheme="minorHAnsi"/>
          <w:sz w:val="24"/>
          <w:szCs w:val="24"/>
          <w:lang w:val="es-CO"/>
        </w:rPr>
        <w:t>.</w:t>
      </w:r>
    </w:p>
    <w:p w14:paraId="35BF200A" w14:textId="46173E35" w:rsidR="00464146" w:rsidRPr="00C316F8" w:rsidRDefault="00464146" w:rsidP="003B711F">
      <w:pPr>
        <w:jc w:val="both"/>
        <w:rPr>
          <w:rFonts w:cstheme="minorHAnsi"/>
          <w:sz w:val="24"/>
          <w:szCs w:val="24"/>
          <w:lang w:val="es-ES"/>
        </w:rPr>
      </w:pPr>
      <w:r w:rsidRPr="00C316F8">
        <w:rPr>
          <w:rFonts w:cstheme="minorHAnsi"/>
          <w:sz w:val="24"/>
          <w:szCs w:val="24"/>
          <w:lang w:val="es-ES"/>
        </w:rPr>
        <w:t>De acuerdo con la información anterior</w:t>
      </w:r>
      <w:r w:rsidR="00B05E8B" w:rsidRPr="00C316F8">
        <w:rPr>
          <w:rFonts w:cstheme="minorHAnsi"/>
          <w:sz w:val="24"/>
          <w:szCs w:val="24"/>
          <w:lang w:val="es-ES"/>
        </w:rPr>
        <w:t>,</w:t>
      </w:r>
      <w:r w:rsidRPr="00C316F8">
        <w:rPr>
          <w:rFonts w:cstheme="minorHAnsi"/>
          <w:sz w:val="24"/>
          <w:szCs w:val="24"/>
          <w:lang w:val="es-ES"/>
        </w:rPr>
        <w:t xml:space="preserve"> se realizó una búsqueda de la literatura para tratar de identificar los impactos socioeconómicos en Colombia. A continuación, se describen diferentes estudios:</w:t>
      </w:r>
    </w:p>
    <w:p w14:paraId="003D029E" w14:textId="41CE3A1E" w:rsidR="00464146" w:rsidRPr="00C316F8" w:rsidRDefault="00464146" w:rsidP="003B711F">
      <w:pPr>
        <w:jc w:val="both"/>
        <w:rPr>
          <w:rFonts w:cstheme="minorHAnsi"/>
          <w:sz w:val="24"/>
          <w:szCs w:val="24"/>
          <w:lang w:val="es-ES"/>
        </w:rPr>
      </w:pPr>
      <w:r w:rsidRPr="00C316F8">
        <w:rPr>
          <w:rFonts w:cstheme="minorHAnsi"/>
          <w:sz w:val="24"/>
          <w:szCs w:val="24"/>
          <w:lang w:val="es-ES"/>
        </w:rPr>
        <w:t>El estudio de Bonet-Morón et al</w:t>
      </w:r>
      <w:r w:rsidR="000A28B2" w:rsidRPr="00C316F8">
        <w:rPr>
          <w:rFonts w:cstheme="minorHAnsi"/>
          <w:sz w:val="24"/>
          <w:szCs w:val="24"/>
          <w:lang w:val="es-ES"/>
        </w:rPr>
        <w:t xml:space="preserve"> en el año 2020</w:t>
      </w:r>
      <w:r w:rsidRPr="00C316F8">
        <w:rPr>
          <w:rFonts w:cstheme="minorHAnsi"/>
          <w:sz w:val="24"/>
          <w:szCs w:val="24"/>
          <w:lang w:val="es-ES"/>
        </w:rPr>
        <w:t>., uso un modelo de insumo-producto, para evaluar en diferentes escenarios las pérdidas económicas en trabajadores formales e informales de diferentes sectores económicos y encontró:</w:t>
      </w:r>
    </w:p>
    <w:p w14:paraId="3F9A18DA" w14:textId="77777777" w:rsidR="00464146" w:rsidRPr="00C316F8" w:rsidRDefault="00464146" w:rsidP="0051504E">
      <w:pPr>
        <w:pStyle w:val="Prrafodelista"/>
        <w:numPr>
          <w:ilvl w:val="0"/>
          <w:numId w:val="23"/>
        </w:numPr>
        <w:jc w:val="both"/>
        <w:rPr>
          <w:rFonts w:cstheme="minorHAnsi"/>
          <w:sz w:val="24"/>
          <w:szCs w:val="24"/>
          <w:lang w:val="es-ES"/>
        </w:rPr>
      </w:pPr>
      <w:r w:rsidRPr="00C316F8">
        <w:rPr>
          <w:rFonts w:cstheme="minorHAnsi"/>
          <w:sz w:val="24"/>
          <w:szCs w:val="24"/>
          <w:lang w:val="es-ES"/>
        </w:rPr>
        <w:t xml:space="preserve">Las medidas de aislamiento preventivo resultan en una reducción del número de trabajadores de 520,5 mil en un escenario que retira solo empleados mayores de 70 años, a 13,3 millones en un escenario donde el 60% de los ocupados están aislados. </w:t>
      </w:r>
    </w:p>
    <w:p w14:paraId="15B8388B" w14:textId="77777777" w:rsidR="00464146" w:rsidRPr="00C316F8" w:rsidRDefault="00464146" w:rsidP="0051504E">
      <w:pPr>
        <w:pStyle w:val="Prrafodelista"/>
        <w:numPr>
          <w:ilvl w:val="0"/>
          <w:numId w:val="23"/>
        </w:numPr>
        <w:jc w:val="both"/>
        <w:rPr>
          <w:rFonts w:cstheme="minorHAnsi"/>
          <w:sz w:val="24"/>
          <w:szCs w:val="24"/>
          <w:lang w:val="es-ES"/>
        </w:rPr>
      </w:pPr>
      <w:r w:rsidRPr="00C316F8">
        <w:rPr>
          <w:rFonts w:cstheme="minorHAnsi"/>
          <w:sz w:val="24"/>
          <w:szCs w:val="24"/>
          <w:lang w:val="es-ES"/>
        </w:rPr>
        <w:t>Las pérdidas económicas varían entre 4,6 billones y 59 billones de pesos mensuales, según el escenario considerado, que representan entre 0,5% y 6,1% del PIB nacional, respectivamente.</w:t>
      </w:r>
    </w:p>
    <w:p w14:paraId="575DEA16" w14:textId="77777777" w:rsidR="00464146" w:rsidRPr="00C316F8" w:rsidRDefault="00464146" w:rsidP="0051504E">
      <w:pPr>
        <w:pStyle w:val="Prrafodelista"/>
        <w:numPr>
          <w:ilvl w:val="0"/>
          <w:numId w:val="23"/>
        </w:numPr>
        <w:jc w:val="both"/>
        <w:rPr>
          <w:rFonts w:cstheme="minorHAnsi"/>
          <w:sz w:val="24"/>
          <w:szCs w:val="24"/>
          <w:lang w:val="es-ES"/>
        </w:rPr>
      </w:pPr>
      <w:r w:rsidRPr="00C316F8">
        <w:rPr>
          <w:rFonts w:cstheme="minorHAnsi"/>
          <w:sz w:val="24"/>
          <w:szCs w:val="24"/>
          <w:lang w:val="es-ES"/>
        </w:rPr>
        <w:t xml:space="preserve">Los sectores económicos con mayores pérdidas son los relacionados con los servicios, incluyendo alojamiento, alimentación, bienes raíces, servicios administrativos, actividades profesionales y técnicas, construcción y comercio. </w:t>
      </w:r>
    </w:p>
    <w:p w14:paraId="48EA33AB" w14:textId="77777777" w:rsidR="00464146" w:rsidRPr="00C316F8" w:rsidRDefault="00464146" w:rsidP="0051504E">
      <w:pPr>
        <w:pStyle w:val="Prrafodelista"/>
        <w:numPr>
          <w:ilvl w:val="0"/>
          <w:numId w:val="23"/>
        </w:numPr>
        <w:jc w:val="both"/>
        <w:rPr>
          <w:rFonts w:cstheme="minorHAnsi"/>
          <w:sz w:val="24"/>
          <w:szCs w:val="24"/>
          <w:lang w:val="es-ES"/>
        </w:rPr>
      </w:pPr>
      <w:r w:rsidRPr="00C316F8">
        <w:rPr>
          <w:rFonts w:cstheme="minorHAnsi"/>
          <w:sz w:val="24"/>
          <w:szCs w:val="24"/>
          <w:lang w:val="es-ES"/>
        </w:rPr>
        <w:t>Bogotá, Antioquia y Valle son los departamentos con mayor participación en pérdida nacional</w:t>
      </w:r>
    </w:p>
    <w:p w14:paraId="5BCD139E" w14:textId="6535B8D6" w:rsidR="00464146" w:rsidRPr="00C316F8" w:rsidRDefault="00464146" w:rsidP="0051504E">
      <w:pPr>
        <w:pStyle w:val="Prrafodelista"/>
        <w:numPr>
          <w:ilvl w:val="0"/>
          <w:numId w:val="23"/>
        </w:numPr>
        <w:jc w:val="both"/>
        <w:rPr>
          <w:rFonts w:cstheme="minorHAnsi"/>
          <w:sz w:val="24"/>
          <w:szCs w:val="24"/>
          <w:lang w:val="es-ES"/>
        </w:rPr>
      </w:pPr>
      <w:r w:rsidRPr="00C316F8">
        <w:rPr>
          <w:rFonts w:cstheme="minorHAnsi"/>
          <w:sz w:val="24"/>
          <w:szCs w:val="24"/>
          <w:lang w:val="es-ES"/>
        </w:rPr>
        <w:lastRenderedPageBreak/>
        <w:t xml:space="preserve">Los departamentos más vulnerables a las medidas de aislamiento son Antioquia, Boyacá, San Andrés, Santander y Valle. </w:t>
      </w:r>
      <w:r w:rsidRPr="00C316F8">
        <w:rPr>
          <w:rFonts w:cstheme="minorHAnsi"/>
          <w:sz w:val="24"/>
          <w:szCs w:val="24"/>
          <w:lang w:val="es-ES"/>
        </w:rPr>
        <w:fldChar w:fldCharType="begin"/>
      </w:r>
      <w:r w:rsidR="00CF09B7" w:rsidRPr="00C316F8">
        <w:rPr>
          <w:rFonts w:cstheme="minorHAnsi"/>
          <w:sz w:val="24"/>
          <w:szCs w:val="24"/>
          <w:lang w:val="es-ES"/>
        </w:rPr>
        <w:instrText xml:space="preserve"> ADDIN ZOTERO_ITEM CSL_CITATION {"citationID":"S2Y7tzg1","properties":{"formattedCitation":"(60)","plainCitation":"(60)","noteIndex":0},"citationItems":[{"id":22,"uris":["http://zotero.org/users/5785509/items/62DA99ME"],"itemData":{"id":22,"type":"article-journal","container-title":"Regional Science Policy &amp; Practice","DOI":"10.1111/rsp3.12320","ISSN":"1757-7802, 1757-7802","issue":"6","journalAbbreviation":"Reg Sci Policy Pract","language":"en","page":"1123-1150","source":"DOI.org (Crossref)","title":"Regional economic impact of COVID‐19 in Colombia: An input–output approach","title-short":"Regional economic impact of COVID‐19 in Colombia","URL":"https://onlinelibrary.wiley.com/doi/10.1111/rsp3.12320","volume":"12","author":[{"family":"Bonet‐Morón","given":"Jaime"},{"family":"Ricciulli‐Marín","given":"Diana"},{"family":"Pérez‐Valbuena","given":"Gerson Javier"},{"family":"Galvis‐Aponte","given":"Luis Armando"},{"family":"Haddad","given":"Eduardo A."},{"family":"Araújo","given":"Inácio F."},{"family":"Perobelli","given":"Fernando S."}],"accessed":{"date-parts":[["2022",3,12]]},"issued":{"date-parts":[["2020",12]]}}}],"schema":"https://github.com/citation-style-language/schema/raw/master/csl-citation.json"} </w:instrText>
      </w:r>
      <w:r w:rsidRPr="00C316F8">
        <w:rPr>
          <w:rFonts w:cstheme="minorHAnsi"/>
          <w:sz w:val="24"/>
          <w:szCs w:val="24"/>
          <w:lang w:val="es-ES"/>
        </w:rPr>
        <w:fldChar w:fldCharType="separate"/>
      </w:r>
      <w:r w:rsidR="00CF09B7" w:rsidRPr="00C316F8">
        <w:rPr>
          <w:rFonts w:ascii="Calibri" w:hAnsi="Calibri" w:cs="Calibri"/>
          <w:sz w:val="24"/>
        </w:rPr>
        <w:t>(60)</w:t>
      </w:r>
      <w:r w:rsidRPr="00C316F8">
        <w:rPr>
          <w:rFonts w:cstheme="minorHAnsi"/>
          <w:sz w:val="24"/>
          <w:szCs w:val="24"/>
          <w:lang w:val="es-ES"/>
        </w:rPr>
        <w:fldChar w:fldCharType="end"/>
      </w:r>
    </w:p>
    <w:p w14:paraId="65766ED6" w14:textId="6E829C6D" w:rsidR="00464146" w:rsidRPr="00C316F8" w:rsidRDefault="00464146" w:rsidP="003B711F">
      <w:pPr>
        <w:jc w:val="both"/>
        <w:rPr>
          <w:rFonts w:cstheme="minorHAnsi"/>
          <w:sz w:val="24"/>
          <w:szCs w:val="24"/>
          <w:lang w:val="es-ES"/>
        </w:rPr>
      </w:pPr>
      <w:r w:rsidRPr="00C316F8">
        <w:rPr>
          <w:rFonts w:cstheme="minorHAnsi"/>
          <w:sz w:val="24"/>
          <w:szCs w:val="24"/>
          <w:lang w:val="es-ES"/>
        </w:rPr>
        <w:t xml:space="preserve">Moreno-Montoya realizó un estudio donde encontró una asociación entre pobreza y mortalidad en Bogotá, en el cual realizó un análisis en las diferentes localidades analizando el </w:t>
      </w:r>
      <w:r w:rsidR="00B05E8B" w:rsidRPr="00C316F8">
        <w:rPr>
          <w:rFonts w:cstheme="minorHAnsi"/>
          <w:sz w:val="24"/>
          <w:szCs w:val="24"/>
          <w:lang w:val="es-ES"/>
        </w:rPr>
        <w:t>CMPI,</w:t>
      </w:r>
      <w:r w:rsidRPr="00C316F8">
        <w:rPr>
          <w:rFonts w:cstheme="minorHAnsi"/>
          <w:sz w:val="24"/>
          <w:szCs w:val="24"/>
          <w:lang w:val="es-ES"/>
        </w:rPr>
        <w:t xml:space="preserve"> encontrando una asociación con la severidad de la enfermedad. Al correr el modelo de regresión logística encontró como variables significativas la edad, el género femenino con un OR 0.53 con un intervalo de confianza de 0</w:t>
      </w:r>
      <w:r w:rsidR="00B05E8B" w:rsidRPr="00C316F8">
        <w:rPr>
          <w:rFonts w:cstheme="minorHAnsi"/>
          <w:sz w:val="24"/>
          <w:szCs w:val="24"/>
          <w:lang w:val="es-ES"/>
        </w:rPr>
        <w:t>,</w:t>
      </w:r>
      <w:r w:rsidRPr="00C316F8">
        <w:rPr>
          <w:rFonts w:cstheme="minorHAnsi"/>
          <w:sz w:val="24"/>
          <w:szCs w:val="24"/>
          <w:lang w:val="es-ES"/>
        </w:rPr>
        <w:t>38-0</w:t>
      </w:r>
      <w:r w:rsidR="00B05E8B" w:rsidRPr="00C316F8">
        <w:rPr>
          <w:rFonts w:cstheme="minorHAnsi"/>
          <w:sz w:val="24"/>
          <w:szCs w:val="24"/>
          <w:lang w:val="es-ES"/>
        </w:rPr>
        <w:t>,</w:t>
      </w:r>
      <w:r w:rsidRPr="00C316F8">
        <w:rPr>
          <w:rFonts w:cstheme="minorHAnsi"/>
          <w:sz w:val="24"/>
          <w:szCs w:val="24"/>
          <w:lang w:val="es-ES"/>
        </w:rPr>
        <w:t>73, la pobreza multidimensional, las compañías comerciales por localidad, el número de personas por hogar, viviendas deficientes</w:t>
      </w:r>
      <w:r w:rsidR="009F2398" w:rsidRPr="00C316F8">
        <w:rPr>
          <w:rFonts w:cstheme="minorHAnsi"/>
          <w:sz w:val="24"/>
          <w:szCs w:val="24"/>
          <w:lang w:val="es-ES"/>
        </w:rPr>
        <w:t>.</w:t>
      </w:r>
      <w:r w:rsidR="00D90660" w:rsidRPr="00C316F8">
        <w:rPr>
          <w:rFonts w:cstheme="minorHAnsi"/>
          <w:sz w:val="24"/>
          <w:szCs w:val="24"/>
          <w:lang w:val="es-ES"/>
        </w:rPr>
        <w:t xml:space="preserve"> </w:t>
      </w:r>
      <w:r w:rsidRPr="00C316F8">
        <w:rPr>
          <w:rFonts w:cstheme="minorHAnsi"/>
          <w:sz w:val="24"/>
          <w:szCs w:val="24"/>
          <w:lang w:val="es-ES"/>
        </w:rPr>
        <w:fldChar w:fldCharType="begin"/>
      </w:r>
      <w:r w:rsidR="00CF09B7" w:rsidRPr="00C316F8">
        <w:rPr>
          <w:rFonts w:cstheme="minorHAnsi"/>
          <w:sz w:val="24"/>
          <w:szCs w:val="24"/>
          <w:lang w:val="es-ES"/>
        </w:rPr>
        <w:instrText xml:space="preserve"> ADDIN ZOTERO_ITEM CSL_CITATION {"citationID":"Z64LsCI8","properties":{"formattedCitation":"(61)","plainCitation":"(61)","noteIndex":0},"citationItems":[{"id":31,"uris":["http://zotero.org/users/5785509/items/BE98DBPR"],"itemData":{"id":31,"type":"article-journal","abstract":"Background\n              The current SARS-CoV-2 pandemic has especially affected individuals living in conglomerate settings having poverty as common characteristic. However, evidence of the association between COVID-19 severity and social determinants is still scarce, particularly, for Latin American countries. The objective was to assess the effect of socioeconomic deprivation in the clinical severity of COVID-19 infection among different localities of Bogotá, Colombia.\n            \n            \n              Methods\n              Secondary analyses using data of SARS-CoV-2 infected cases in Bogotá from 6 March 2020 to 19 April 2020 were carried out. Direct and indirect indicators of deprivation at area level and individual demographic characteristics (age, sex and type of case) were included in the analyses.\n            \n            \n              Findings\n              1684 COVID-19 cases were included in the study. There were 217 (12.9%; 95% CI 11.3 to 14.5) serious cases, of which 32.6% (95% CI 26.4 to 38.8) cases were deceased. In the multilevel logistic regression, age, sex (female), type of case (different of imported case), number of serious cases recorded the previous day and multidimensional poverty were associated with serious cases (median OR: 1.72, 95% CI 1.56 to 1.87).\n            \n            \n              Interpretation\n              This paper explored the association between COVID-19 severity and social determinants. Expressions of poverty were associated with more severe cases during first 2 months of pandemic. It is a clear syndemic for the joint presentation of COVID-19 and other comorbidities among more serious cases.","container-title":"Journal of Epidemiology and Community Health","DOI":"10.1136/jech-2020-214579","ISSN":"0143-005X, 1470-2738","issue":"2","journalAbbreviation":"J Epidemiol Community Health","language":"en","page":"116-120","source":"DOI.org (Crossref)","title":"COVID-19 distribution in Bogotá, Colombia: effect of poverty during the first 2 months of pandemic","title-short":"COVID-19 distribution in Bogotá, Colombia","URL":"https://jech.bmj.com/lookup/doi/10.1136/jech-2020-214579","volume":"76","author":[{"family":"Moreno-Montoya","given":"Jose"},{"family":"Ballesteros","given":"Silvia Marcela"},{"family":"Idrovo","given":"Alvaro Javier"}],"accessed":{"date-parts":[["2022",2,27]]},"issued":{"date-parts":[["2022",2]]}}}],"schema":"https://github.com/citation-style-language/schema/raw/master/csl-citation.json"} </w:instrText>
      </w:r>
      <w:r w:rsidRPr="00C316F8">
        <w:rPr>
          <w:rFonts w:cstheme="minorHAnsi"/>
          <w:sz w:val="24"/>
          <w:szCs w:val="24"/>
          <w:lang w:val="es-ES"/>
        </w:rPr>
        <w:fldChar w:fldCharType="separate"/>
      </w:r>
      <w:r w:rsidR="00CF09B7" w:rsidRPr="00C316F8">
        <w:rPr>
          <w:rFonts w:ascii="Calibri" w:hAnsi="Calibri" w:cs="Calibri"/>
          <w:sz w:val="24"/>
          <w:lang w:val="es-CO"/>
        </w:rPr>
        <w:t>(61)</w:t>
      </w:r>
      <w:r w:rsidRPr="00C316F8">
        <w:rPr>
          <w:rFonts w:cstheme="minorHAnsi"/>
          <w:sz w:val="24"/>
          <w:szCs w:val="24"/>
          <w:lang w:val="es-ES"/>
        </w:rPr>
        <w:fldChar w:fldCharType="end"/>
      </w:r>
    </w:p>
    <w:p w14:paraId="0B86EACD" w14:textId="0FA9AA3F" w:rsidR="00464146" w:rsidRPr="00C316F8" w:rsidRDefault="00464146" w:rsidP="003B711F">
      <w:pPr>
        <w:jc w:val="both"/>
        <w:rPr>
          <w:rFonts w:cstheme="minorHAnsi"/>
          <w:bCs/>
          <w:sz w:val="24"/>
          <w:szCs w:val="24"/>
          <w:lang w:val="es-ES"/>
        </w:rPr>
      </w:pPr>
      <w:r w:rsidRPr="00C316F8">
        <w:rPr>
          <w:rFonts w:cstheme="minorHAnsi"/>
          <w:bCs/>
          <w:sz w:val="24"/>
          <w:szCs w:val="24"/>
          <w:lang w:val="es-ES"/>
        </w:rPr>
        <w:t>En el estudio de Cifuentes et al., concluyeron que en Colombia se encuentran inequidades socioeconómicas y demográficas en cuanto a mortalidad. Adicionalmente se encontraron diferencias en mortalidad en los diferentes grupos de edad al igual que en los grupos étnicos y las personas que viven en áreas clasificadas como estados socioeconómicos bajos y muy bajos. Las diferencias raciales han sido reportadas en varios contextos</w:t>
      </w:r>
      <w:r w:rsidR="00B05E8B" w:rsidRPr="00C316F8">
        <w:rPr>
          <w:rFonts w:cstheme="minorHAnsi"/>
          <w:bCs/>
          <w:sz w:val="24"/>
          <w:szCs w:val="24"/>
          <w:lang w:val="es-ES"/>
        </w:rPr>
        <w:t>,</w:t>
      </w:r>
      <w:r w:rsidRPr="00C316F8">
        <w:rPr>
          <w:rFonts w:cstheme="minorHAnsi"/>
          <w:bCs/>
          <w:sz w:val="24"/>
          <w:szCs w:val="24"/>
          <w:lang w:val="es-ES"/>
        </w:rPr>
        <w:t xml:space="preserve"> como se analizó anteriormente. </w:t>
      </w:r>
    </w:p>
    <w:p w14:paraId="51EA72E5" w14:textId="3A7DDF48" w:rsidR="00464146" w:rsidRPr="00C316F8" w:rsidRDefault="00464146" w:rsidP="003B711F">
      <w:pPr>
        <w:jc w:val="both"/>
        <w:rPr>
          <w:rFonts w:cstheme="minorHAnsi"/>
          <w:bCs/>
          <w:sz w:val="24"/>
          <w:szCs w:val="24"/>
          <w:lang w:val="es-ES"/>
        </w:rPr>
      </w:pPr>
      <w:r w:rsidRPr="00C316F8">
        <w:rPr>
          <w:rFonts w:cstheme="minorHAnsi"/>
          <w:bCs/>
          <w:sz w:val="24"/>
          <w:szCs w:val="24"/>
          <w:lang w:val="es-ES"/>
        </w:rPr>
        <w:t xml:space="preserve">De acuerdo con la publicación de la Universidad de los Andes </w:t>
      </w:r>
      <w:r w:rsidRPr="00C316F8">
        <w:rPr>
          <w:rFonts w:cstheme="minorHAnsi"/>
          <w:bCs/>
          <w:sz w:val="24"/>
          <w:szCs w:val="24"/>
          <w:lang w:val="es-ES"/>
        </w:rPr>
        <w:fldChar w:fldCharType="begin"/>
      </w:r>
      <w:r w:rsidR="00CF09B7" w:rsidRPr="00C316F8">
        <w:rPr>
          <w:rFonts w:cstheme="minorHAnsi"/>
          <w:bCs/>
          <w:sz w:val="24"/>
          <w:szCs w:val="24"/>
          <w:lang w:val="es-ES"/>
        </w:rPr>
        <w:instrText xml:space="preserve"> ADDIN ZOTERO_ITEM CSL_CITATION {"citationID":"GasQw1rQ","properties":{"formattedCitation":"(62)","plainCitation":"(62)","noteIndex":0},"citationItems":[{"id":17,"uris":["http://zotero.org/users/5785509/items/FGR5HATT"],"itemData":{"id":17,"type":"document","title":"nota-macroeconomica-23.pdf","URL":"https://repositorio.uniandes.edu.co/bitstream/handle/1992/41163/nota-macroeconomica-23.pdf?sequence=1&amp;isAllowed=y","accessed":{"date-parts":[["2022",3,15]]}}}],"schema":"https://github.com/citation-style-language/schema/raw/master/csl-citation.json"} </w:instrText>
      </w:r>
      <w:r w:rsidRPr="00C316F8">
        <w:rPr>
          <w:rFonts w:cstheme="minorHAnsi"/>
          <w:bCs/>
          <w:sz w:val="24"/>
          <w:szCs w:val="24"/>
          <w:lang w:val="es-ES"/>
        </w:rPr>
        <w:fldChar w:fldCharType="separate"/>
      </w:r>
      <w:r w:rsidR="00CF09B7" w:rsidRPr="00C316F8">
        <w:rPr>
          <w:rFonts w:ascii="Calibri" w:hAnsi="Calibri" w:cs="Calibri"/>
          <w:sz w:val="24"/>
          <w:lang w:val="es-CO"/>
        </w:rPr>
        <w:t>(62)</w:t>
      </w:r>
      <w:r w:rsidRPr="00C316F8">
        <w:rPr>
          <w:rFonts w:cstheme="minorHAnsi"/>
          <w:bCs/>
          <w:sz w:val="24"/>
          <w:szCs w:val="24"/>
          <w:lang w:val="es-ES"/>
        </w:rPr>
        <w:fldChar w:fldCharType="end"/>
      </w:r>
      <w:r w:rsidRPr="00C316F8">
        <w:rPr>
          <w:rFonts w:cstheme="minorHAnsi"/>
          <w:bCs/>
          <w:sz w:val="24"/>
          <w:szCs w:val="24"/>
          <w:lang w:val="es-ES"/>
        </w:rPr>
        <w:t xml:space="preserve"> en donde buscó patrones socioeconómicos en la ciudad de Bogotá en la pandemia Covid-19 evidenció un número mayor de contagios en los estratos más bajos y adicionalmente ellos reciben mayor número de comparendos por no mantener las medidas sanitarias, haciendo que los sectores más vulnerables sean más expuestos debido a su incapacidad de aislarse y la necesidad de movilizarse para conseguir ingresos. Este estudio plantea la teoría de “la trampa cognitiva de la pobreza”</w:t>
      </w:r>
      <w:r w:rsidR="008E6AE1" w:rsidRPr="00C316F8">
        <w:rPr>
          <w:rFonts w:cstheme="minorHAnsi"/>
          <w:bCs/>
          <w:sz w:val="24"/>
          <w:szCs w:val="24"/>
          <w:lang w:val="es-ES"/>
        </w:rPr>
        <w:t>,</w:t>
      </w:r>
      <w:r w:rsidRPr="00C316F8">
        <w:rPr>
          <w:rFonts w:cstheme="minorHAnsi"/>
          <w:bCs/>
          <w:sz w:val="24"/>
          <w:szCs w:val="24"/>
          <w:lang w:val="es-ES"/>
        </w:rPr>
        <w:t xml:space="preserve"> en donde el acceso a la información de calidad y la creación de expectativas guía en muchas ocasiones el comportamiento, especialmente en situaciones de riesgo e incertidumbre  </w:t>
      </w:r>
      <w:r w:rsidRPr="00C316F8">
        <w:rPr>
          <w:rFonts w:cstheme="minorHAnsi"/>
          <w:bCs/>
          <w:sz w:val="24"/>
          <w:szCs w:val="24"/>
          <w:lang w:val="es-ES"/>
        </w:rPr>
        <w:fldChar w:fldCharType="begin"/>
      </w:r>
      <w:r w:rsidR="00CF09B7" w:rsidRPr="00C316F8">
        <w:rPr>
          <w:rFonts w:cstheme="minorHAnsi"/>
          <w:bCs/>
          <w:sz w:val="24"/>
          <w:szCs w:val="24"/>
          <w:lang w:val="es-ES"/>
        </w:rPr>
        <w:instrText xml:space="preserve"> ADDIN ZOTERO_ITEM CSL_CITATION {"citationID":"CtVp3ncT","properties":{"formattedCitation":"(62)","plainCitation":"(62)","noteIndex":0},"citationItems":[{"id":17,"uris":["http://zotero.org/users/5785509/items/FGR5HATT"],"itemData":{"id":17,"type":"document","title":"nota-macroeconomica-23.pdf","URL":"https://repositorio.uniandes.edu.co/bitstream/handle/1992/41163/nota-macroeconomica-23.pdf?sequence=1&amp;isAllowed=y","accessed":{"date-parts":[["2022",3,15]]}}}],"schema":"https://github.com/citation-style-language/schema/raw/master/csl-citation.json"} </w:instrText>
      </w:r>
      <w:r w:rsidRPr="00C316F8">
        <w:rPr>
          <w:rFonts w:cstheme="minorHAnsi"/>
          <w:bCs/>
          <w:sz w:val="24"/>
          <w:szCs w:val="24"/>
          <w:lang w:val="es-ES"/>
        </w:rPr>
        <w:fldChar w:fldCharType="separate"/>
      </w:r>
      <w:r w:rsidR="00CF09B7" w:rsidRPr="00C316F8">
        <w:rPr>
          <w:rFonts w:ascii="Calibri" w:hAnsi="Calibri" w:cs="Calibri"/>
          <w:sz w:val="24"/>
          <w:lang w:val="es-CO"/>
        </w:rPr>
        <w:t>(62)</w:t>
      </w:r>
      <w:r w:rsidRPr="00C316F8">
        <w:rPr>
          <w:rFonts w:cstheme="minorHAnsi"/>
          <w:bCs/>
          <w:sz w:val="24"/>
          <w:szCs w:val="24"/>
          <w:lang w:val="es-ES"/>
        </w:rPr>
        <w:fldChar w:fldCharType="end"/>
      </w:r>
      <w:r w:rsidR="009F2398" w:rsidRPr="00C316F8">
        <w:rPr>
          <w:rFonts w:cstheme="minorHAnsi"/>
          <w:bCs/>
          <w:sz w:val="24"/>
          <w:szCs w:val="24"/>
          <w:lang w:val="es-ES"/>
        </w:rPr>
        <w:t>.</w:t>
      </w:r>
    </w:p>
    <w:p w14:paraId="2A468C6A" w14:textId="37CF2008" w:rsidR="00464146" w:rsidRPr="00C316F8" w:rsidRDefault="00464146"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Las estimaciones en las tasas de contagio son limitadas, la Universidad de los Andes  desarrolló el estudio CoVIDA, en el que se tomaron muestras para Covid-19 en personas asintomáticas en la ciudad de Bogotá entre junio de 2020 y marzo de 2021, realizando 59.770 pruebas RT-PCR y se combinaron estos datos con los registros administrativos de los casos detectados para capturar la propagación y dinámica de la pandemia, se encontró que más de la mitad de la población ha</w:t>
      </w:r>
      <w:r w:rsidR="00622E6E" w:rsidRPr="00C316F8">
        <w:rPr>
          <w:rFonts w:cstheme="minorHAnsi"/>
          <w:color w:val="000000"/>
          <w:sz w:val="24"/>
          <w:szCs w:val="24"/>
          <w:shd w:val="clear" w:color="auto" w:fill="FFFFFF"/>
          <w:lang w:val="es-CO"/>
        </w:rPr>
        <w:t>bía</w:t>
      </w:r>
      <w:r w:rsidRPr="00C316F8">
        <w:rPr>
          <w:rFonts w:cstheme="minorHAnsi"/>
          <w:color w:val="000000"/>
          <w:sz w:val="24"/>
          <w:szCs w:val="24"/>
          <w:shd w:val="clear" w:color="auto" w:fill="FFFFFF"/>
          <w:lang w:val="es-CO"/>
        </w:rPr>
        <w:t xml:space="preserve"> sido infectada a pesar de que solo se detectó una fracción pequeña. La acumulación de inmunidad ayudó a contener la pandemia y se evidenció que la población infectada varía de acuerdo con la ocupación, </w:t>
      </w:r>
      <w:r w:rsidR="008E6AE1" w:rsidRPr="00C316F8">
        <w:rPr>
          <w:rFonts w:cstheme="minorHAnsi"/>
          <w:color w:val="000000"/>
          <w:sz w:val="24"/>
          <w:szCs w:val="24"/>
          <w:shd w:val="clear" w:color="auto" w:fill="FFFFFF"/>
          <w:lang w:val="es-CO"/>
        </w:rPr>
        <w:t xml:space="preserve">el </w:t>
      </w:r>
      <w:r w:rsidRPr="00C316F8">
        <w:rPr>
          <w:rFonts w:cstheme="minorHAnsi"/>
          <w:color w:val="000000"/>
          <w:sz w:val="24"/>
          <w:szCs w:val="24"/>
          <w:shd w:val="clear" w:color="auto" w:fill="FFFFFF"/>
          <w:lang w:val="es-CO"/>
        </w:rPr>
        <w:t xml:space="preserve">estrato socioeconómico y la ubicación. Los trabajadores esenciales como guardias de seguridad, transportadores y cajeros tuvieron mayores índices de infección a finales de noviembre. Por el contrario, la mayoría de las infecciones en trabajadores de la construcción, niñeras y trabajadores domésticos ocurrieron entre noviembre y febrero, lo que es consistente con mayores restricciones para viajar y trabajar al inicio de la pandemia. </w:t>
      </w:r>
      <w:r w:rsidR="004C758B" w:rsidRPr="00C316F8">
        <w:rPr>
          <w:rFonts w:cstheme="minorHAnsi"/>
          <w:color w:val="000000"/>
          <w:sz w:val="24"/>
          <w:szCs w:val="24"/>
          <w:shd w:val="clear" w:color="auto" w:fill="FFFFFF"/>
          <w:lang w:val="es-CO"/>
        </w:rPr>
        <w:t xml:space="preserve">Se encontraron disparidades entre los estratos socioeconómicos: los estratos bajos tuvieron cuatro veces </w:t>
      </w:r>
      <w:r w:rsidR="004C758B" w:rsidRPr="00C316F8">
        <w:rPr>
          <w:rFonts w:cstheme="minorHAnsi"/>
          <w:color w:val="000000"/>
          <w:sz w:val="24"/>
          <w:szCs w:val="24"/>
          <w:shd w:val="clear" w:color="auto" w:fill="FFFFFF"/>
          <w:lang w:val="es-CO"/>
        </w:rPr>
        <w:lastRenderedPageBreak/>
        <w:t>más riesgo de infección y fueron los más afectados durante el primer periodo de la pandemia (marzo a julio de 2020, caracterizado por la cuarentena estricta y el confinamiento nacional). En contraste, los estratos medio y alto concentraron una mayor proporción de casos en el segundo periodo (agosto de 2020 en adelante, con la reapertura progresiva y el levantamiento de restricciones). Esta dinámica es consistente con el hecho de que las personas de estratos superiores, al cumplir la cuarentena en el primer periodo, no desarrollaron inmunidad, lo que dejó a un mayor número de individuos susceptibles en la siguiente fase. El virus, por su parte, se propagó con mayor rapidez en las localidades más pobres</w:t>
      </w:r>
      <w:r w:rsidR="008E6AE1" w:rsidRPr="00C316F8">
        <w:rPr>
          <w:rFonts w:cstheme="minorHAnsi"/>
          <w:color w:val="000000"/>
          <w:sz w:val="24"/>
          <w:szCs w:val="24"/>
          <w:shd w:val="clear" w:color="auto" w:fill="FFFFFF"/>
          <w:lang w:val="es-CO"/>
        </w:rPr>
        <w:t>.</w:t>
      </w:r>
      <w:r w:rsidR="004C758B" w:rsidRPr="00C316F8">
        <w:rPr>
          <w:rFonts w:cstheme="minorHAnsi"/>
          <w:color w:val="000000"/>
          <w:sz w:val="24"/>
          <w:szCs w:val="24"/>
          <w:shd w:val="clear" w:color="auto" w:fill="FFFFFF"/>
          <w:lang w:val="es-CO"/>
        </w:rPr>
        <w:t xml:space="preserve"> </w:t>
      </w:r>
      <w:r w:rsidRPr="00C316F8">
        <w:rPr>
          <w:rFonts w:cstheme="minorHAnsi"/>
          <w:color w:val="000000"/>
          <w:sz w:val="24"/>
          <w:szCs w:val="24"/>
          <w:shd w:val="clear" w:color="auto" w:fill="FFFFFF"/>
        </w:rPr>
        <w:fldChar w:fldCharType="begin"/>
      </w:r>
      <w:r w:rsidR="00CF09B7" w:rsidRPr="00C316F8">
        <w:rPr>
          <w:rFonts w:cstheme="minorHAnsi"/>
          <w:color w:val="000000"/>
          <w:sz w:val="24"/>
          <w:szCs w:val="24"/>
          <w:shd w:val="clear" w:color="auto" w:fill="FFFFFF"/>
          <w:lang w:val="es-CO"/>
        </w:rPr>
        <w:instrText xml:space="preserve"> ADDIN ZOTERO_ITEM CSL_CITATION {"citationID":"oScbk77h","properties":{"formattedCitation":"(63)","plainCitation":"(63)","noteIndex":0},"citationItems":[{"id":492,"uris":["http://zotero.org/users/5785509/items/NWYP873M"],"itemData":{"id":492,"type":"article-journal","abstract":"Abstract\n            Latin America has been severely affected by the COVID-19 pandemic but estimations of rates of infections are very limited and lack the level of detail required to guide policy decisions. We implemented a COVID-19 sentinel surveillance study with 59,770 RT-PCR tests on mostly asymptomatic individuals and combine this data with administrative records on all detected cases to capture the spread and dynamics of the COVID-19 pandemic in Bogota from June 2020 to early March 2021. We describe various features of the pandemic that appear to be specific to a middle income countries. We find that, by March 2021, slightly more than half of the population in Bogota has been infected, despite only a small fraction of this population being detected. The initial buildup of immunity contributed to the containment of the pandemic in the first and second waves. We also show that the share of the population infected by March 2021 varies widely by occupation, socio-economic stratum, and location. This, in turn, has affected the dynamics of the spread with different groups being infected in the two waves.","container-title":"Nature Communications","DOI":"10.1038/s41467-021-25038-z","ISSN":"2041-1723","issue":"1","journalAbbreviation":"Nat Commun","language":"en","page":"4726","source":"DOI.org (Crossref)","title":"COVID-19 spread, detection, and dynamics in Bogota, Colombia","URL":"https://www.nature.com/articles/s41467-021-25038-z","volume":"12","author":[{"family":"Laajaj","given":"Rachid"},{"family":"De Los Rios","given":"Camilo"},{"family":"Sarmiento-Barbieri","given":"Ignacio"},{"family":"Aristizabal","given":"Danilo"},{"family":"Behrentz","given":"Eduardo"},{"family":"Bernal","given":"Raquel"},{"family":"Buitrago","given":"Giancarlo"},{"family":"Cucunubá","given":"Zulma"},{"family":"Hoz","given":"Fernando","non-dropping-particle":"de la"},{"family":"Gaviria","given":"Alejandro"},{"family":"Hernández","given":"Luis Jorge"},{"family":"León","given":"Leonardo"},{"family":"Moyano","given":"Diane"},{"family":"Osorio","given":"Elkin"},{"family":"Varela","given":"Andrea Ramírez"},{"family":"Restrepo","given":"Silvia"},{"family":"Rodriguez","given":"Rodrigo"},{"family":"Schady","given":"Norbert"},{"family":"Vives","given":"Martha"},{"family":"Webb","given":"Duncan"}],"accessed":{"date-parts":[["2022",4,2]]},"issued":{"date-parts":[["2021",12]]}}}],"schema":"https://github.com/citation-style-language/schema/raw/master/csl-citation.json"} </w:instrText>
      </w:r>
      <w:r w:rsidRPr="00C316F8">
        <w:rPr>
          <w:rFonts w:cstheme="minorHAnsi"/>
          <w:color w:val="000000"/>
          <w:sz w:val="24"/>
          <w:szCs w:val="24"/>
          <w:shd w:val="clear" w:color="auto" w:fill="FFFFFF"/>
        </w:rPr>
        <w:fldChar w:fldCharType="separate"/>
      </w:r>
      <w:r w:rsidR="00CF09B7" w:rsidRPr="00C316F8">
        <w:rPr>
          <w:rFonts w:ascii="Calibri" w:hAnsi="Calibri" w:cs="Calibri"/>
          <w:sz w:val="24"/>
          <w:lang w:val="es-CO"/>
        </w:rPr>
        <w:t>(63)</w:t>
      </w:r>
      <w:r w:rsidRPr="00C316F8">
        <w:rPr>
          <w:rFonts w:cstheme="minorHAnsi"/>
          <w:color w:val="000000"/>
          <w:sz w:val="24"/>
          <w:szCs w:val="24"/>
          <w:shd w:val="clear" w:color="auto" w:fill="FFFFFF"/>
        </w:rPr>
        <w:fldChar w:fldCharType="end"/>
      </w:r>
    </w:p>
    <w:p w14:paraId="6F859473" w14:textId="3875D369" w:rsidR="00464146" w:rsidRPr="00C316F8" w:rsidRDefault="007534A6"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Durante la primera ola se identificó un patrón caracterizado por la disminución de las tasas de infección a medida que aumenta el ingreso.</w:t>
      </w:r>
      <w:r w:rsidR="00464146" w:rsidRPr="00C316F8">
        <w:rPr>
          <w:rFonts w:cstheme="minorHAnsi"/>
          <w:color w:val="000000"/>
          <w:sz w:val="24"/>
          <w:szCs w:val="24"/>
          <w:shd w:val="clear" w:color="auto" w:fill="FFFFFF"/>
          <w:lang w:val="es-CO"/>
        </w:rPr>
        <w:t xml:space="preserve"> Curiosamente, esta relación no se observa en absoluto en la segunda ola. Por el contrario, todos los estratos muestran tasas similares de casos nuevos diarios de COVID-19, y si acaso, los estratos 5 y 6 tienen las tasas más altas de casos nuevos diarios reportados al comienzo de la segunda ola. Sin embargo, esto no se refleja en los datos de CoVIDA ni en las muertes asociadas a COVID-19 en los datos oficiales. Este rompecabezas parece estar impulsado por el hecho de que, entre julio de 2020 y enero de 2021, la proporción de casos que fueron detectados creció de 5% a 52% en los estratos 5 y 6, mientras que se mantuvo relativamente estable en los estratos más pobres. Las diferencias en la dinámica de detección entre estratos pueden ser una consecuencia del programa gubernamental PRASS ("Programa de Pruebas, Rastreo y Aislamiento Selectivo Sostenible"), la adaptación colombiana de la estrategia de Prueba, Rastreo y Aislamiento, que comenzó el 08/12/2021. El programa descentralizó el proceso de pruebas para que los prestadores de servicios de salud se encargaran de detectar los casos de sus afiliados. Aunque en Bogotá el 97% de las personas están afiliadas </w:t>
      </w:r>
      <w:r w:rsidR="00181ED4" w:rsidRPr="00C316F8">
        <w:rPr>
          <w:rFonts w:cstheme="minorHAnsi"/>
          <w:color w:val="000000"/>
          <w:sz w:val="24"/>
          <w:szCs w:val="24"/>
          <w:shd w:val="clear" w:color="auto" w:fill="FFFFFF"/>
          <w:lang w:val="es-CO"/>
        </w:rPr>
        <w:t>a un actor del Sistema General de Seguridad Social en Salud encargado de la provisión de servicios asistenciales</w:t>
      </w:r>
      <w:r w:rsidR="00464146" w:rsidRPr="00C316F8">
        <w:rPr>
          <w:rFonts w:cstheme="minorHAnsi"/>
          <w:color w:val="000000"/>
          <w:sz w:val="24"/>
          <w:szCs w:val="24"/>
          <w:shd w:val="clear" w:color="auto" w:fill="FFFFFF"/>
          <w:lang w:val="es-CO"/>
        </w:rPr>
        <w:t>, la calidad del servicio y los tiempos de espera de las citas varían mucho y están altamente correlacionados con los niveles de ingreso. De acuerdo con esto, la delegación de las pruebas a los proveedores parece haber aumentado drásticamente la tasa de detección entre los estratos altos. Este hallazgo pone de manifiesto una posible compensación entre un sistema más centralizado que era, por término medio, menos eficiente pero más equitativo, y un sistema descentralizado que producía mejoras, pero sólo en los estratos más ricos, por lo tanto, parte del aumento de los casos detectados se debe a un aumento de la tasa de detección a lo largo del tiempo</w:t>
      </w:r>
      <w:r w:rsidR="009F2398" w:rsidRPr="00C316F8">
        <w:rPr>
          <w:rFonts w:cstheme="minorHAnsi"/>
          <w:color w:val="000000"/>
          <w:sz w:val="24"/>
          <w:szCs w:val="24"/>
          <w:shd w:val="clear" w:color="auto" w:fill="FFFFFF"/>
          <w:lang w:val="es-CO"/>
        </w:rPr>
        <w:t>.</w:t>
      </w:r>
      <w:r w:rsidR="00464146" w:rsidRPr="00C316F8">
        <w:rPr>
          <w:rFonts w:cstheme="minorHAnsi"/>
          <w:color w:val="000000"/>
          <w:sz w:val="24"/>
          <w:szCs w:val="24"/>
          <w:shd w:val="clear" w:color="auto" w:fill="FFFFFF"/>
          <w:lang w:val="es-CO"/>
        </w:rPr>
        <w:t xml:space="preserve"> </w:t>
      </w:r>
      <w:r w:rsidR="00464146" w:rsidRPr="00C316F8">
        <w:rPr>
          <w:rFonts w:cstheme="minorHAnsi"/>
          <w:color w:val="000000"/>
          <w:sz w:val="24"/>
          <w:szCs w:val="24"/>
          <w:shd w:val="clear" w:color="auto" w:fill="FFFFFF"/>
        </w:rPr>
        <w:fldChar w:fldCharType="begin"/>
      </w:r>
      <w:r w:rsidR="00F7063D" w:rsidRPr="00C316F8">
        <w:rPr>
          <w:rFonts w:cstheme="minorHAnsi"/>
          <w:color w:val="000000"/>
          <w:sz w:val="24"/>
          <w:szCs w:val="24"/>
          <w:shd w:val="clear" w:color="auto" w:fill="FFFFFF"/>
          <w:lang w:val="es-CO"/>
        </w:rPr>
        <w:instrText xml:space="preserve"> ADDIN ZOTERO_ITEM CSL_CITATION {"citationID":"EYSvNxRi","properties":{"formattedCitation":"(63)","plainCitation":"(63)","noteIndex":0},"citationItems":[{"id":492,"uris":["http://zotero.org/users/5785509/items/NWYP873M"],"itemData":{"id":492,"type":"article-journal","abstract":"Abstract\n            Latin America has been severely affected by the COVID-19 pandemic but estimations of rates of infections are very limited and lack the level of detail required to guide policy decisions. We implemented a COVID-19 sentinel surveillance study with 59,770 RT-PCR tests on mostly asymptomatic individuals and combine this data with administrative records on all detected cases to capture the spread and dynamics of the COVID-19 pandemic in Bogota from June 2020 to early March 2021. We describe various features of the pandemic that appear to be specific to a middle income countries. We find that, by March 2021, slightly more than half of the population in Bogota has been infected, despite only a small fraction of this population being detected. The initial buildup of immunity contributed to the containment of the pandemic in the first and second waves. We also show that the share of the population infected by March 2021 varies widely by occupation, socio-economic stratum, and location. This, in turn, has affected the dynamics of the spread with different groups being infected in the two waves.","container-title":"Nature Communications","DOI":"10.1038/s41467-021-25038-z","ISSN":"2041-1723","issue":"1","journalAbbreviation":"Nat Commun","language":"en","page":"4726","source":"DOI.org (Crossref)","title":"COVID-19 spread, detection, and dynamics in Bogota, Colombia","URL":"https://www.nature.com/articles/s41467-021-25038-z","volume":"12","author":[{"family":"Laajaj","given":"Rachid"},{"family":"De Los Rios","given":"Camilo"},{"family":"Sarmiento-Barbieri","given":"Ignacio"},{"family":"Aristizabal","given":"Danilo"},{"family":"Behrentz","given":"Eduardo"},{"family":"Bernal","given":"Raquel"},{"family":"Buitrago","given":"Giancarlo"},{"family":"Cucunubá","given":"Zulma"},{"family":"Hoz","given":"Fernando","non-dropping-particle":"de la"},{"family":"Gaviria","given":"Alejandro"},{"family":"Hernández","given":"Luis Jorge"},{"family":"León","given":"Leonardo"},{"family":"Moyano","given":"Diane"},{"family":"Osorio","given":"Elkin"},{"family":"Varela","given":"Andrea Ramírez"},{"family":"Restrepo","given":"Silvia"},{"family":"Rodriguez","given":"Rodrigo"},{"family":"Schady","given":"Norbert"},{"family":"Vives","given":"Martha"},{"family":"Webb","given":"Duncan"}],"accessed":{"date-parts":[["2022",4,2]]},"issued":{"date-parts":[["2021",12]]}}}],"schema":"https://github.com/citation-style-language/schema/raw/master/csl-citation.json"} </w:instrText>
      </w:r>
      <w:r w:rsidR="00464146" w:rsidRPr="00C316F8">
        <w:rPr>
          <w:rFonts w:cstheme="minorHAnsi"/>
          <w:color w:val="000000"/>
          <w:sz w:val="24"/>
          <w:szCs w:val="24"/>
          <w:shd w:val="clear" w:color="auto" w:fill="FFFFFF"/>
        </w:rPr>
        <w:fldChar w:fldCharType="separate"/>
      </w:r>
      <w:r w:rsidR="00F7063D" w:rsidRPr="00C316F8">
        <w:rPr>
          <w:rFonts w:ascii="Calibri" w:hAnsi="Calibri" w:cs="Calibri"/>
          <w:sz w:val="24"/>
          <w:lang w:val="es-CO"/>
        </w:rPr>
        <w:t>(63)</w:t>
      </w:r>
      <w:r w:rsidR="00464146" w:rsidRPr="00C316F8">
        <w:rPr>
          <w:rFonts w:cstheme="minorHAnsi"/>
          <w:color w:val="000000"/>
          <w:sz w:val="24"/>
          <w:szCs w:val="24"/>
          <w:shd w:val="clear" w:color="auto" w:fill="FFFFFF"/>
        </w:rPr>
        <w:fldChar w:fldCharType="end"/>
      </w:r>
    </w:p>
    <w:p w14:paraId="084C5D98" w14:textId="773D190F" w:rsidR="00464146" w:rsidRPr="00C316F8" w:rsidRDefault="00464146"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El estudio de Cuesta y Pico presentó los efectos del COVID-19 en el empleo, analizando las disparidades de género, las brechas en la generación de ingresos y las brechas de pobreza, utilizando una metodología simple de microsimulación. Este enfoque fue probado en Colombia</w:t>
      </w:r>
      <w:r w:rsidR="008E6AE1" w:rsidRPr="00C316F8">
        <w:rPr>
          <w:rFonts w:cstheme="minorHAnsi"/>
          <w:color w:val="000000"/>
          <w:sz w:val="24"/>
          <w:szCs w:val="24"/>
          <w:shd w:val="clear" w:color="auto" w:fill="FFFFFF"/>
          <w:lang w:val="es-CO"/>
        </w:rPr>
        <w:t>,</w:t>
      </w:r>
      <w:r w:rsidRPr="00C316F8">
        <w:rPr>
          <w:rFonts w:cstheme="minorHAnsi"/>
          <w:color w:val="000000"/>
          <w:sz w:val="24"/>
          <w:szCs w:val="24"/>
          <w:shd w:val="clear" w:color="auto" w:fill="FFFFFF"/>
          <w:lang w:val="es-CO"/>
        </w:rPr>
        <w:t xml:space="preserve"> ya que ha implementado medidas de mitigación y ha reabierto su economía antes que sus vecinos regionales. Se encontró que COVID-19 aumenta el índice de pobreza en un grado desalentador entre 3,0 y 9,1 puntos porcentuales. Las medidas de mitigación </w:t>
      </w:r>
      <w:r w:rsidRPr="00C316F8">
        <w:rPr>
          <w:rFonts w:cstheme="minorHAnsi"/>
          <w:color w:val="000000"/>
          <w:sz w:val="24"/>
          <w:szCs w:val="24"/>
          <w:shd w:val="clear" w:color="auto" w:fill="FFFFFF"/>
          <w:lang w:val="es-CO"/>
        </w:rPr>
        <w:lastRenderedPageBreak/>
        <w:t>varían considerablemente en su impacto individual</w:t>
      </w:r>
      <w:r w:rsidR="008E6AE1" w:rsidRPr="00C316F8">
        <w:rPr>
          <w:rFonts w:cstheme="minorHAnsi"/>
          <w:color w:val="000000"/>
          <w:sz w:val="24"/>
          <w:szCs w:val="24"/>
          <w:shd w:val="clear" w:color="auto" w:fill="FFFFFF"/>
          <w:lang w:val="es-CO"/>
        </w:rPr>
        <w:t>,</w:t>
      </w:r>
      <w:r w:rsidRPr="00C316F8">
        <w:rPr>
          <w:rFonts w:cstheme="minorHAnsi"/>
          <w:color w:val="000000"/>
          <w:sz w:val="24"/>
          <w:szCs w:val="24"/>
          <w:shd w:val="clear" w:color="auto" w:fill="FFFFFF"/>
          <w:lang w:val="es-CO"/>
        </w:rPr>
        <w:t xml:space="preserve"> siendo hasta 0,9 puntos porcentuales en reducción de la pobreza. Un programa de Renta Básica Universal neutral desde el punto de vista fiscal presenta reducciones de la pobreza. Es importante destacar que tanto hombres como mujeres reportan impactos similares en la pobreza por la pandemia y las políticas de mitigación, lo que refleja la magnitud de la recesión, el diseño de las intervenciones y nuestra propia medida de la pobreza</w:t>
      </w:r>
      <w:r w:rsidR="009F2398" w:rsidRPr="00C316F8">
        <w:rPr>
          <w:rFonts w:cstheme="minorHAnsi"/>
          <w:color w:val="000000"/>
          <w:sz w:val="24"/>
          <w:szCs w:val="24"/>
          <w:shd w:val="clear" w:color="auto" w:fill="FFFFFF"/>
          <w:lang w:val="es-CO"/>
        </w:rPr>
        <w:t>.</w:t>
      </w:r>
      <w:r w:rsidRPr="00C316F8">
        <w:rPr>
          <w:rFonts w:cstheme="minorHAnsi"/>
          <w:color w:val="000000"/>
          <w:sz w:val="24"/>
          <w:szCs w:val="24"/>
          <w:shd w:val="clear" w:color="auto" w:fill="FFFFFF"/>
          <w:lang w:val="es-CO"/>
        </w:rPr>
        <w:t xml:space="preserve"> </w:t>
      </w:r>
      <w:r w:rsidRPr="00C316F8">
        <w:rPr>
          <w:rFonts w:cstheme="minorHAnsi"/>
          <w:color w:val="000000"/>
          <w:sz w:val="24"/>
          <w:szCs w:val="24"/>
          <w:shd w:val="clear" w:color="auto" w:fill="FFFFFF"/>
        </w:rPr>
        <w:fldChar w:fldCharType="begin"/>
      </w:r>
      <w:r w:rsidR="00B50BAE" w:rsidRPr="00C316F8">
        <w:rPr>
          <w:rFonts w:cstheme="minorHAnsi"/>
          <w:color w:val="000000"/>
          <w:sz w:val="24"/>
          <w:szCs w:val="24"/>
          <w:shd w:val="clear" w:color="auto" w:fill="FFFFFF"/>
          <w:lang w:val="es-CO"/>
        </w:rPr>
        <w:instrText xml:space="preserve"> ADDIN ZOTERO_ITEM CSL_CITATION {"citationID":"QN1Q8MEM","properties":{"formattedCitation":"(64)","plainCitation":"(64)","noteIndex":0},"citationItems":[{"id":490,"uris":["http://zotero.org/users/5785509/items/NA5RRPJD"],"itemData":{"id":490,"type":"article-journal","container-title":"The European Journal of Development Research","DOI":"10.1057/s41287-020-00328-2","ISSN":"0957-8811, 1743-9728","issue":"5","journalAbbreviation":"Eur J Dev Res","language":"en","page":"1558-1591","source":"DOI.org (Crossref)","title":"The Gendered Poverty Effects of the COVID-19 Pandemic in Colombia","URL":"http://link.springer.com/10.1057/s41287-020-00328-2","volume":"32","author":[{"family":"Cuesta","given":"Jose"},{"family":"Pico","given":"Julieth"}],"accessed":{"date-parts":[["2022",4,3]]},"issued":{"date-parts":[["2020",12]]}}}],"schema":"https://github.com/citation-style-language/schema/raw/master/csl-citation.json"} </w:instrText>
      </w:r>
      <w:r w:rsidRPr="00C316F8">
        <w:rPr>
          <w:rFonts w:cstheme="minorHAnsi"/>
          <w:color w:val="000000"/>
          <w:sz w:val="24"/>
          <w:szCs w:val="24"/>
          <w:shd w:val="clear" w:color="auto" w:fill="FFFFFF"/>
        </w:rPr>
        <w:fldChar w:fldCharType="separate"/>
      </w:r>
      <w:r w:rsidR="00B50BAE" w:rsidRPr="00C316F8">
        <w:rPr>
          <w:rFonts w:ascii="Calibri" w:hAnsi="Calibri" w:cs="Calibri"/>
          <w:sz w:val="24"/>
          <w:lang w:val="es-CO"/>
        </w:rPr>
        <w:t>(64)</w:t>
      </w:r>
      <w:r w:rsidRPr="00C316F8">
        <w:rPr>
          <w:rFonts w:cstheme="minorHAnsi"/>
          <w:color w:val="000000"/>
          <w:sz w:val="24"/>
          <w:szCs w:val="24"/>
          <w:shd w:val="clear" w:color="auto" w:fill="FFFFFF"/>
        </w:rPr>
        <w:fldChar w:fldCharType="end"/>
      </w:r>
    </w:p>
    <w:p w14:paraId="4FDAD3BF" w14:textId="18FA1943" w:rsidR="00933E70" w:rsidRPr="00C316F8" w:rsidRDefault="00933E70" w:rsidP="003B711F">
      <w:pPr>
        <w:jc w:val="both"/>
        <w:rPr>
          <w:rFonts w:cstheme="minorHAnsi"/>
          <w:color w:val="000000"/>
          <w:sz w:val="24"/>
          <w:szCs w:val="24"/>
          <w:shd w:val="clear" w:color="auto" w:fill="FFFFFF"/>
          <w:lang w:val="es-CO"/>
        </w:rPr>
      </w:pPr>
    </w:p>
    <w:p w14:paraId="4DA7CEC5" w14:textId="4D132169" w:rsidR="00933E70" w:rsidRPr="00C316F8" w:rsidRDefault="0064598C" w:rsidP="0064598C">
      <w:pPr>
        <w:pStyle w:val="Ttulo1"/>
        <w:rPr>
          <w:shd w:val="clear" w:color="auto" w:fill="FFFFFF"/>
          <w:lang w:val="es-CO"/>
        </w:rPr>
      </w:pPr>
      <w:bookmarkStart w:id="32" w:name="_Toc229834645"/>
      <w:r w:rsidRPr="00C316F8">
        <w:rPr>
          <w:shd w:val="clear" w:color="auto" w:fill="FFFFFF"/>
          <w:lang w:val="es-CO"/>
        </w:rPr>
        <w:t>3.4</w:t>
      </w:r>
      <w:r w:rsidRPr="00C316F8">
        <w:rPr>
          <w:shd w:val="clear" w:color="auto" w:fill="FFFFFF"/>
          <w:lang w:val="es-CO"/>
        </w:rPr>
        <w:tab/>
        <w:t>Conflicto armado</w:t>
      </w:r>
      <w:bookmarkEnd w:id="32"/>
    </w:p>
    <w:p w14:paraId="4D7A159B" w14:textId="5795E1A7" w:rsidR="00933E70" w:rsidRPr="00C316F8" w:rsidRDefault="00933E70" w:rsidP="003B711F">
      <w:pPr>
        <w:jc w:val="both"/>
        <w:rPr>
          <w:rFonts w:cstheme="minorHAnsi"/>
          <w:color w:val="000000"/>
          <w:sz w:val="24"/>
          <w:szCs w:val="24"/>
          <w:shd w:val="clear" w:color="auto" w:fill="FFFFFF"/>
          <w:lang w:val="es-CO"/>
        </w:rPr>
      </w:pPr>
    </w:p>
    <w:p w14:paraId="262470E9" w14:textId="639160A9" w:rsidR="003D406A" w:rsidRPr="00C316F8" w:rsidRDefault="003D406A"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La emergencia provocada por la pandemia de Covid-19 tuvo un impacto transversal en Colombia, afectando no solo el sistema de salud y la economía, sino también el frágil entramado institucional y social de un país inmerso en un complejo escenario de posconflicto. Este contexto coincidió con la implementación parcial del Acuerdo de Paz firmado en 2016, lo cual evidenció las debilidades históricas del Estado para garantizar la presencia efectiva en territorios periféricos, proveer servicios básicos y asegurar condiciones mínimas de seguridad, justicia y bienestar. Aunque se adoptaron respuestas rápidas ante la crisis sanitaria, como estrategias de atención pública y ayudas económicas a poblaciones vulnerables, la pandemia expuso y amplificó tensiones estructurales preexistentes, entre ellas la persistencia del conflicto armado, el incumplimiento de los compromisos pactados y una creciente percepción de abandono institucional. En zonas rurales y marginadas, la limitada capacidad del Estado para ejercer control territorial permitió la reconfiguración de actores armados ilegales, el resurgimiento de disputas por el dominio de economías ilícitas y el debilitamiento de procesos comunitarios orientados a la paz. Al mismo tiempo, el aislamiento, el desempleo y la precariedad derivada de la pandemia profundizaron el deterioro del tejido social, agudizando la fragmentación y la desconfianza hacia las instituciones. En este sentido, la crisis sanitaria no solo actuó como una emergencia coyuntural, sino como un acelerador de dinámicas de exclusión, desigualdad y violencia históricamente acumuladas. Este escenario plantea la necesidad de repensar la consolidación territorial, fortalecer el Estado social de derecho y formular políticas públicas integrales, con enfoque intersectorial y territorial, que respondan a los retos de una sociedad marcada por profundas brechas sociales, polarización política e insuficiencia institucional. Comprender la intersección entre la pandemia y el conflicto armado es fundamental para evaluar críticamente la capacidad del Estado colombiano de garantizar derechos, cerrar brechas históricas y avanzar hacia una paz sostenible en contextos de alta vulnerabilidad estructural</w:t>
      </w:r>
      <w:r w:rsidR="009F2398" w:rsidRPr="00C316F8">
        <w:rPr>
          <w:rFonts w:cstheme="minorHAnsi"/>
          <w:color w:val="000000"/>
          <w:sz w:val="24"/>
          <w:szCs w:val="24"/>
          <w:shd w:val="clear" w:color="auto" w:fill="FFFFFF"/>
          <w:lang w:val="es-CO"/>
        </w:rPr>
        <w:t>.</w:t>
      </w:r>
      <w:r w:rsidR="004342E5" w:rsidRPr="00C316F8">
        <w:rPr>
          <w:rFonts w:cstheme="minorHAnsi"/>
          <w:color w:val="000000"/>
          <w:sz w:val="24"/>
          <w:szCs w:val="24"/>
          <w:shd w:val="clear" w:color="auto" w:fill="FFFFFF"/>
          <w:lang w:val="es-CO"/>
        </w:rPr>
        <w:t xml:space="preserve"> </w:t>
      </w:r>
      <w:r w:rsidR="004342E5" w:rsidRPr="00C316F8">
        <w:rPr>
          <w:rFonts w:cstheme="minorHAnsi"/>
          <w:color w:val="000000"/>
          <w:sz w:val="24"/>
          <w:szCs w:val="24"/>
          <w:shd w:val="clear" w:color="auto" w:fill="FFFFFF"/>
        </w:rPr>
        <w:fldChar w:fldCharType="begin"/>
      </w:r>
      <w:r w:rsidR="00896A4F" w:rsidRPr="00C316F8">
        <w:rPr>
          <w:rFonts w:cstheme="minorHAnsi"/>
          <w:color w:val="000000"/>
          <w:sz w:val="24"/>
          <w:szCs w:val="24"/>
          <w:shd w:val="clear" w:color="auto" w:fill="FFFFFF"/>
          <w:lang w:val="es-CO"/>
        </w:rPr>
        <w:instrText xml:space="preserve"> ADDIN ZOTERO_ITEM CSL_CITATION {"citationID":"ANxz9sTU","properties":{"formattedCitation":"(65)","plainCitation":"(65)","noteIndex":0},"citationItems":[{"id":1735,"uris":["http://zotero.org/users/5785509/items/RFGKBS6S"],"itemData":{"id":1735,"type":"book","abstract":"The pandemic has deepened existing trends in the international system, in particular the readjustment of alliances between nations and between regions. As spheres of influence disintegrate and reform, so national and regional security policies will change in unforeseen ways notwithstanding that individual state self-preservation will dominate policy choice. Three major dimensions are addressed. The first dimension is International Relations and Economy. The coronavirus has accelerated a global economic crisis comparable to those of 1929, 1987 and 2008. Are the major economic trading blocs moving to a war economy, and who might win or lose in this context? The second dimension of analysis is the growth of Information Communication. Hybrid and fragmented, especially in terms of the use of social media, the use of veiled threat and promoting discord in the form of providing provocative information on topics of the day can lead to conflict consequences and all its negative impacts. The third dimension is Geopolitical Reconfiguration. While world powers are always manoeuvring for an enhanced military and economic position, the pandemic offers new opportunities to capitalise on the changing power balance. The editors and contributors engage with the differing power polarities between China, the United States, India, Brazil, Russia, and the European Union. This book is one of the first to present research on the effects of COVID-19 on national public policy. Cross-cultural analysis of its effects, and the way in which different societies have addressed the fight against the virus, provides insight into the relations between states and possible solutions in the international arena. The work is essential reading for all those involved in international affairs and policy-making.","ISBN":"978-1-78284-772-4","language":"en","note":"Google-Books-ID: UwiVEAAAQBAJ","number-of-pages":"303","publisher":"Liverpool University Press","source":"Google Books","title":"Reframing Globalization After COVID-19: Pandemic Diplomacy amid the Failure of Multilateral Cooperation","title-short":"Reframing Globalization After COVID-19","author":[{"family":"Baisotti","given":"Pablo"},{"family":"Moscuzza","given":"Pierfrancesco"}],"issued":{"date-parts":[["2022",10,15]]}}}],"schema":"https://github.com/citation-style-language/schema/raw/master/csl-citation.json"} </w:instrText>
      </w:r>
      <w:r w:rsidR="004342E5" w:rsidRPr="00C316F8">
        <w:rPr>
          <w:rFonts w:cstheme="minorHAnsi"/>
          <w:color w:val="000000"/>
          <w:sz w:val="24"/>
          <w:szCs w:val="24"/>
          <w:shd w:val="clear" w:color="auto" w:fill="FFFFFF"/>
        </w:rPr>
        <w:fldChar w:fldCharType="separate"/>
      </w:r>
      <w:r w:rsidR="00896A4F" w:rsidRPr="00C316F8">
        <w:rPr>
          <w:rFonts w:ascii="Calibri" w:hAnsi="Calibri" w:cs="Calibri"/>
          <w:sz w:val="24"/>
          <w:lang w:val="es-CO"/>
        </w:rPr>
        <w:t>(65)</w:t>
      </w:r>
      <w:r w:rsidR="004342E5" w:rsidRPr="00C316F8">
        <w:rPr>
          <w:rFonts w:cstheme="minorHAnsi"/>
          <w:color w:val="000000"/>
          <w:sz w:val="24"/>
          <w:szCs w:val="24"/>
          <w:shd w:val="clear" w:color="auto" w:fill="FFFFFF"/>
        </w:rPr>
        <w:fldChar w:fldCharType="end"/>
      </w:r>
    </w:p>
    <w:p w14:paraId="760247A2" w14:textId="6C1B39E1" w:rsidR="00933E70" w:rsidRPr="00C316F8" w:rsidRDefault="009D7053"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 xml:space="preserve">Esta realidad no fue exclusiva de Colombia. La pandemia de COVID-19 exacerbó crisis humanitarias y alteró las dinámicas de conflicto en múltiples países con contextos de alta fragilidad institucional. La experiencia colombiana encuentra paralelos y contrastes </w:t>
      </w:r>
      <w:r w:rsidRPr="00C316F8">
        <w:rPr>
          <w:rFonts w:cstheme="minorHAnsi"/>
          <w:color w:val="000000"/>
          <w:sz w:val="24"/>
          <w:szCs w:val="24"/>
          <w:shd w:val="clear" w:color="auto" w:fill="FFFFFF"/>
          <w:lang w:val="es-CO"/>
        </w:rPr>
        <w:lastRenderedPageBreak/>
        <w:t>relevantes al observar otros escenarios internacionales, como el caso de Siria, donde la emergencia sanitaria profundizó el colapso del sistema de salud en medio de una prolongada guerra, particularmente en regiones como Idlib, donde los desplazados enfrentaron condiciones inhumanas. En Yemen, la propagación del virus sobre un sistema sanitario previamente devastado dejó a millones sin acceso a atención médica. Contrario a los llamamientos internacionales a ceses al fuego, en Libia la pandemia intensificó los enfrentamientos entre facciones rivales, mientras que en Israel y Palestina surgieron, de forma puntual, espacios de cooperación humanitaria. En África Central, los conflictos armados y los desplazamientos masivos persistieron —e incluso se intensificaron— durante la crisis sanitaria, como en la República Democrática del Congo y Etiopía. Estos casos revelan cómo, pese a la dimensión global de la emergencia, las dinámicas de violencia lograron perpetuarse, agravando el sufrimiento de las poblaciones más vulnerables y obstaculizando los procesos de recuperación y estabilización</w:t>
      </w:r>
      <w:r w:rsidR="009F2398" w:rsidRPr="00C316F8">
        <w:rPr>
          <w:rFonts w:cstheme="minorHAnsi"/>
          <w:color w:val="000000"/>
          <w:sz w:val="24"/>
          <w:szCs w:val="24"/>
          <w:shd w:val="clear" w:color="auto" w:fill="FFFFFF"/>
          <w:lang w:val="es-CO"/>
        </w:rPr>
        <w:t>.</w:t>
      </w:r>
      <w:r w:rsidR="00933E70" w:rsidRPr="00C316F8">
        <w:rPr>
          <w:rFonts w:cstheme="minorHAnsi"/>
          <w:color w:val="000000"/>
          <w:sz w:val="24"/>
          <w:szCs w:val="24"/>
          <w:shd w:val="clear" w:color="auto" w:fill="FFFFFF"/>
          <w:lang w:val="es-CO"/>
        </w:rPr>
        <w:t xml:space="preserve"> </w:t>
      </w:r>
      <w:r w:rsidR="00933E70" w:rsidRPr="00C316F8">
        <w:rPr>
          <w:rFonts w:cstheme="minorHAnsi"/>
          <w:color w:val="000000"/>
          <w:sz w:val="24"/>
          <w:szCs w:val="24"/>
          <w:shd w:val="clear" w:color="auto" w:fill="FFFFFF"/>
        </w:rPr>
        <w:fldChar w:fldCharType="begin"/>
      </w:r>
      <w:r w:rsidR="00EC6EB1" w:rsidRPr="00C316F8">
        <w:rPr>
          <w:rFonts w:cstheme="minorHAnsi"/>
          <w:color w:val="000000"/>
          <w:sz w:val="24"/>
          <w:szCs w:val="24"/>
          <w:shd w:val="clear" w:color="auto" w:fill="FFFFFF"/>
          <w:lang w:val="es-CO"/>
        </w:rPr>
        <w:instrText xml:space="preserve"> ADDIN ZOTERO_ITEM CSL_CITATION {"citationID":"ZHMxRTfL","properties":{"formattedCitation":"(66)","plainCitation":"(66)","noteIndex":0},"citationItems":[{"id":1736,"uris":["http://zotero.org/users/5785509/items/27KTF9JK"],"itemData":{"id":1736,"type":"article-journal","abstract":"The relationship between COVID-19 and peace has been considered from a variety of perspectives. In addition, different empirical studies on the link between the pandemic and peace in conflict-affected areas exist. However, little work has been performed on examining these studies to highlight key findings on the theme of COVID-19 and peace in conflict-affected areas. A conflict-affected area is a country, or part of a country, where widespread violence or armed conflict was present when COVID-19 emerged in December 2019, or that was transitioning from recent armed conflict to peace by the time the disease arose. What do we know, so far, about how peace has been affected by the COVID-19 pandemic in conflict-affected areas? To address this question, this paper begins by recognizing the multidimensionality of peace and clarifying that the main aspects of peace in conflict-affected areas being considered in the article are relations between conflict parties, peace efforts, and peace processes. Afterwards, the paper discusses existing evidence regarding the impact of COVID-19 and state responses to it on these components of peace in conflict-affected areas. The conflict-affected areas considered include Afghanistan, Colombia, Iraq, Israel-Palestine, Libya, Myanmar, Nigeria, South Sudan, Syria, the Philippines, Yemen, and other zones. The central finding of the article is that the existing studies on COVID-19 and peace in conflict-affected areas present mixed findings. On the one hand, the virus generated opportunities for cooperation between conflict parties in some cases, such as in the West Bank and Gaza Strip of Israel-Palestine. However, on the other hand, it created conditions that enabled conflict and impeded peace efforts and processes in many or most conflict-affected areas. The paper explains that two factors that determined how the disease affected peace in conflict-affected and non-conflict-affected areas are the pre-COVID-19 political and socio-economic conditions in an area, and how state and non-state actors responded to the pandemic. The article closes with a summary of the discussion and identification of its major limitations.","container-title":"Encyclopedia","DOI":"10.3390/encyclopedia2040114","ISSN":"2673-8392","issue":"4","journalAbbreviation":"Encyclopedia","language":"en","license":"https://creativecommons.org/licenses/by/4.0/","page":"1678-1687","source":"DOI.org (Crossref)","title":"COVID-19 and Peace in Conflict-Affected Areas","URL":"https://www.mdpi.com/2673-8392/2/4/114","volume":"2","author":[{"family":"Ossai","given":"Emmanuel Chiwetalu"}],"accessed":{"date-parts":[["2025",5,13]]},"issued":{"date-parts":[["2022",9,28]]}}}],"schema":"https://github.com/citation-style-language/schema/raw/master/csl-citation.json"} </w:instrText>
      </w:r>
      <w:r w:rsidR="00933E70" w:rsidRPr="00C316F8">
        <w:rPr>
          <w:rFonts w:cstheme="minorHAnsi"/>
          <w:color w:val="000000"/>
          <w:sz w:val="24"/>
          <w:szCs w:val="24"/>
          <w:shd w:val="clear" w:color="auto" w:fill="FFFFFF"/>
        </w:rPr>
        <w:fldChar w:fldCharType="separate"/>
      </w:r>
      <w:r w:rsidR="00EC6EB1" w:rsidRPr="00C316F8">
        <w:rPr>
          <w:rFonts w:ascii="Calibri" w:hAnsi="Calibri" w:cs="Calibri"/>
          <w:sz w:val="24"/>
          <w:lang w:val="es-CO"/>
        </w:rPr>
        <w:t>(66)</w:t>
      </w:r>
      <w:r w:rsidR="00933E70" w:rsidRPr="00C316F8">
        <w:rPr>
          <w:rFonts w:cstheme="minorHAnsi"/>
          <w:color w:val="000000"/>
          <w:sz w:val="24"/>
          <w:szCs w:val="24"/>
          <w:shd w:val="clear" w:color="auto" w:fill="FFFFFF"/>
        </w:rPr>
        <w:fldChar w:fldCharType="end"/>
      </w:r>
    </w:p>
    <w:p w14:paraId="549C5B47" w14:textId="762E536A" w:rsidR="00660992" w:rsidRPr="00C316F8" w:rsidRDefault="00552D4B"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Volviendo al caso colombiano desde una perspectiva histórica, es fundamental reconocer que el conflicto armado interno, activo durante más de cuatro décadas, ha dejado una profunda huella humanitaria, manifestada no solo en altas tasas de homicidios, desplazamiento forzado y uso de minas antipersonales, sino también en el deterioro sistemático de la salud pública. La violencia afectó de forma desproporcionada a poblaciones vulnerables —niños, mujeres, jóvenes y comunidades étnicas— y debilitó gravemente el sistema de salud a través de ataques a la misión médica, desfinanciamiento crónico y abandono institucional en zonas rurales. Estas condiciones preexistentes configuraron un terreno particularmente adverso frente al impacto de la pandemia, al combinarse los efectos de una crisis prolongada con los desafíos de una emergencia global. Así, se produjo un doble impacto: consecuencias directas en términos de mortalidad y morbilidad, y daños estructurales como la fragmentación de los servicios, la precarización del personal sanitario y el trauma colectivo, todo ello agravado por reiteradas violaciones al Derecho Internacional Humanitario</w:t>
      </w:r>
      <w:r w:rsidR="009F2398" w:rsidRPr="00C316F8">
        <w:rPr>
          <w:rFonts w:cstheme="minorHAnsi"/>
          <w:color w:val="000000"/>
          <w:sz w:val="24"/>
          <w:szCs w:val="24"/>
          <w:shd w:val="clear" w:color="auto" w:fill="FFFFFF"/>
          <w:lang w:val="es-CO"/>
        </w:rPr>
        <w:t>.</w:t>
      </w:r>
      <w:r w:rsidR="00271276" w:rsidRPr="00C316F8">
        <w:rPr>
          <w:rFonts w:cstheme="minorHAnsi"/>
          <w:color w:val="000000"/>
          <w:sz w:val="24"/>
          <w:szCs w:val="24"/>
          <w:shd w:val="clear" w:color="auto" w:fill="FFFFFF"/>
          <w:lang w:val="es-CO"/>
        </w:rPr>
        <w:t xml:space="preserve"> </w:t>
      </w:r>
      <w:r w:rsidR="00660992" w:rsidRPr="00C316F8">
        <w:rPr>
          <w:rFonts w:cstheme="minorHAnsi"/>
          <w:color w:val="000000"/>
          <w:sz w:val="24"/>
          <w:szCs w:val="24"/>
          <w:shd w:val="clear" w:color="auto" w:fill="FFFFFF"/>
        </w:rPr>
        <w:fldChar w:fldCharType="begin"/>
      </w:r>
      <w:r w:rsidR="009A6A1B" w:rsidRPr="00C316F8">
        <w:rPr>
          <w:rFonts w:cstheme="minorHAnsi"/>
          <w:color w:val="000000"/>
          <w:sz w:val="24"/>
          <w:szCs w:val="24"/>
          <w:shd w:val="clear" w:color="auto" w:fill="FFFFFF"/>
          <w:lang w:val="es-CO"/>
        </w:rPr>
        <w:instrText xml:space="preserve"> ADDIN ZOTERO_ITEM CSL_CITATION {"citationID":"iYolVI4m","properties":{"formattedCitation":"(67)","plainCitation":"(67)","noteIndex":0},"citationItems":[{"id":1466,"uris":["http://zotero.org/users/5785509/items/NKR4Q4KT"],"itemData":{"id":1466,"type":"article-journal","container-title":"Ciência &amp; Saúde Coletiva","ISSN":"1413-8123","journalAbbreviation":"Ciência &amp; Saúde Coletiva","page":"349-361","publisher":"SciELO Public Health","title":"The effects of the armed conflict on the life and health in Colombia","volume":"11","author":[{"family":"Franco","given":"Saúl"},{"family":"Suarez","given":"Clara Mercedes"},{"family":"Naranjo","given":"Claudia Beatriz"},{"family":"Báez","given":"Liliana Carolina"},{"family":"Rozo","given":"Patricia"}],"issued":{"date-parts":[["2006"]]}}}],"schema":"https://github.com/citation-style-language/schema/raw/master/csl-citation.json"} </w:instrText>
      </w:r>
      <w:r w:rsidR="00660992" w:rsidRPr="00C316F8">
        <w:rPr>
          <w:rFonts w:cstheme="minorHAnsi"/>
          <w:color w:val="000000"/>
          <w:sz w:val="24"/>
          <w:szCs w:val="24"/>
          <w:shd w:val="clear" w:color="auto" w:fill="FFFFFF"/>
        </w:rPr>
        <w:fldChar w:fldCharType="separate"/>
      </w:r>
      <w:r w:rsidR="009A6A1B" w:rsidRPr="00C316F8">
        <w:rPr>
          <w:rFonts w:ascii="Calibri" w:hAnsi="Calibri" w:cs="Calibri"/>
          <w:sz w:val="24"/>
          <w:lang w:val="es-CO"/>
        </w:rPr>
        <w:t>(67)</w:t>
      </w:r>
      <w:r w:rsidR="00660992" w:rsidRPr="00C316F8">
        <w:rPr>
          <w:rFonts w:cstheme="minorHAnsi"/>
          <w:color w:val="000000"/>
          <w:sz w:val="24"/>
          <w:szCs w:val="24"/>
          <w:shd w:val="clear" w:color="auto" w:fill="FFFFFF"/>
        </w:rPr>
        <w:fldChar w:fldCharType="end"/>
      </w:r>
    </w:p>
    <w:p w14:paraId="0CD76ACD" w14:textId="6D462E78" w:rsidR="00933E70" w:rsidRPr="00C316F8" w:rsidRDefault="008A263E"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 xml:space="preserve">En este mismo sentido, los impactos del conflicto y de la pandemia se interrelacionan profundamente con la pobreza estructural, particularmente en territorios como los municipios de Antioquia, donde la intensidad del conflicto armado se asocia con niveles elevados de pobreza multidimensional. Esta situación se manifiesta en privaciones significativas en dimensiones clave como educación, salud, empleo y condiciones de vida. El conflicto no solo genera pérdidas directas en el capital físico y humano, sino que también deteriora el capital social e institucional, debilitando la capacidad de las comunidades para transformar recursos disponibles en bienestar tangible. Esta interacción bidireccional entre pobreza y violencia constituye un círculo vicioso que perpetúa la exclusión, limita las oportunidades de desarrollo y consolida escenarios de inseguridad prolongada. Por ello, resulta prioritario diseñar e implementar políticas públicas articuladas que aborden simultáneamente las privaciones socioeconómicas y los factores estructurales del conflicto </w:t>
      </w:r>
      <w:r w:rsidRPr="00C316F8">
        <w:rPr>
          <w:rFonts w:cstheme="minorHAnsi"/>
          <w:color w:val="000000"/>
          <w:sz w:val="24"/>
          <w:szCs w:val="24"/>
          <w:shd w:val="clear" w:color="auto" w:fill="FFFFFF"/>
          <w:lang w:val="es-CO"/>
        </w:rPr>
        <w:lastRenderedPageBreak/>
        <w:t>armado, promoviendo un enfoque de desarrollo sostenible y de construcción de paz territorial a largo plazo</w:t>
      </w:r>
      <w:r w:rsidR="009F2398" w:rsidRPr="00C316F8">
        <w:rPr>
          <w:rFonts w:cstheme="minorHAnsi"/>
          <w:color w:val="000000"/>
          <w:sz w:val="24"/>
          <w:szCs w:val="24"/>
          <w:shd w:val="clear" w:color="auto" w:fill="FFFFFF"/>
          <w:lang w:val="es-CO"/>
        </w:rPr>
        <w:t>.</w:t>
      </w:r>
      <w:r w:rsidR="00933E70" w:rsidRPr="00C316F8">
        <w:rPr>
          <w:rFonts w:cstheme="minorHAnsi"/>
          <w:color w:val="000000"/>
          <w:sz w:val="24"/>
          <w:szCs w:val="24"/>
          <w:shd w:val="clear" w:color="auto" w:fill="FFFFFF"/>
          <w:lang w:val="es-CO"/>
        </w:rPr>
        <w:t xml:space="preserve"> </w:t>
      </w:r>
      <w:r w:rsidR="00554BE3" w:rsidRPr="00C316F8">
        <w:rPr>
          <w:rFonts w:cstheme="minorHAnsi"/>
          <w:color w:val="000000"/>
          <w:sz w:val="24"/>
          <w:szCs w:val="24"/>
          <w:shd w:val="clear" w:color="auto" w:fill="FFFFFF"/>
        </w:rPr>
        <w:fldChar w:fldCharType="begin"/>
      </w:r>
      <w:r w:rsidR="00D2191A" w:rsidRPr="00C316F8">
        <w:rPr>
          <w:rFonts w:cstheme="minorHAnsi"/>
          <w:color w:val="000000"/>
          <w:sz w:val="24"/>
          <w:szCs w:val="24"/>
          <w:shd w:val="clear" w:color="auto" w:fill="FFFFFF"/>
          <w:lang w:val="es-CO"/>
        </w:rPr>
        <w:instrText xml:space="preserve"> ADDIN ZOTERO_ITEM CSL_CITATION {"citationID":"sKItETAE","properties":{"formattedCitation":"(68)","plainCitation":"(68)","noteIndex":0},"citationItems":[{"id":1467,"uris":["http://zotero.org/users/5785509/items/DFKAEEW7"],"itemData":{"id":1467,"type":"article-journal","title":"The relationship between multidimensional poverty and armed conflict: the case of Antioquia, Colombia","author":[{"family":"Loaiza","given":"Osmar"},{"family":"Munetón","given":"Guberney"},{"family":"Vanegas","given":"Gabriel"}],"issued":{"date-parts":[["2014"]]}}}],"schema":"https://github.com/citation-style-language/schema/raw/master/csl-citation.json"} </w:instrText>
      </w:r>
      <w:r w:rsidR="00554BE3" w:rsidRPr="00C316F8">
        <w:rPr>
          <w:rFonts w:cstheme="minorHAnsi"/>
          <w:color w:val="000000"/>
          <w:sz w:val="24"/>
          <w:szCs w:val="24"/>
          <w:shd w:val="clear" w:color="auto" w:fill="FFFFFF"/>
        </w:rPr>
        <w:fldChar w:fldCharType="separate"/>
      </w:r>
      <w:r w:rsidR="00D2191A" w:rsidRPr="00C316F8">
        <w:rPr>
          <w:rFonts w:ascii="Calibri" w:hAnsi="Calibri" w:cs="Calibri"/>
          <w:sz w:val="24"/>
          <w:lang w:val="es-CO"/>
        </w:rPr>
        <w:t>(68)</w:t>
      </w:r>
      <w:r w:rsidR="00554BE3" w:rsidRPr="00C316F8">
        <w:rPr>
          <w:rFonts w:cstheme="minorHAnsi"/>
          <w:color w:val="000000"/>
          <w:sz w:val="24"/>
          <w:szCs w:val="24"/>
          <w:shd w:val="clear" w:color="auto" w:fill="FFFFFF"/>
        </w:rPr>
        <w:fldChar w:fldCharType="end"/>
      </w:r>
    </w:p>
    <w:p w14:paraId="6640ADF9" w14:textId="4F291EA9" w:rsidR="00805A28" w:rsidRPr="00C316F8" w:rsidRDefault="00805A28"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En esa misma línea de análisis, la región Caribe colombiana ofrece un ejemplo particularmente ilustrativo de cómo la pandemia no solo coexistió con los conflictos armados locales, sino que también facilitó su reconfiguración y fortalecimiento en territorios históricamente vulnerables. Durante 2020, lejos de generar una disminución de las hostilidades, la emergencia sanitaria fue aprovechada por diversos grupos armados ilegales —como las AGC, el ELN, las disidencias de las FARC y las Autodefensas Conquistadores de la Sierra Nevada— para ampliar su control territorial, imponer normas sociales y disputar rutas clave para actividades ilícitas como el narcotráfico, la minería ilegal y la extorsión. En subregiones como el sur de Córdoba, el sur de Bolívar, el sur del Cesar, la Sierra Nevada de Santa Marta y los Montes de María, se observaron patrones diferenciados de violencia, que incluyeron enfrentamientos armados, violencia contra la población civil y acciones de carácter interorganizacional. Estas dinámicas se tradujeron en un incremento notable de las infracciones al Derecho Internacional Humanitario, incluyendo masacres, asesinatos de líderes sociales y excombatientes, desplazamientos forzados y secuestros. Paralelamente, se documentaron casos en los que los grupos armados actuaron como autoridades de facto, decretando cuarentenas, retenes y sanciones, lo que refleja su capacidad para asumir funciones estatales en contextos de baja presencia institucional. En suma, la pandemia no detuvo las dinámicas de conflicto, sino que las transformó, acentuando el control armado sobre territorios periféricos y profundizando las afectaciones humanitarias en comunidades ya marcadas por la exclusión y la violencia crónica</w:t>
      </w:r>
      <w:r w:rsidR="009F2398" w:rsidRPr="00C316F8">
        <w:rPr>
          <w:rFonts w:cstheme="minorHAnsi"/>
          <w:color w:val="000000"/>
          <w:sz w:val="24"/>
          <w:szCs w:val="24"/>
          <w:shd w:val="clear" w:color="auto" w:fill="FFFFFF"/>
          <w:lang w:val="es-CO"/>
        </w:rPr>
        <w:t>.</w:t>
      </w:r>
      <w:r w:rsidRPr="00C316F8">
        <w:rPr>
          <w:rFonts w:cstheme="minorHAnsi"/>
          <w:color w:val="000000"/>
          <w:sz w:val="24"/>
          <w:szCs w:val="24"/>
          <w:shd w:val="clear" w:color="auto" w:fill="FFFFFF"/>
          <w:lang w:val="es-CO"/>
        </w:rPr>
        <w:t xml:space="preserve"> </w:t>
      </w:r>
      <w:r w:rsidRPr="00C316F8">
        <w:rPr>
          <w:rFonts w:cstheme="minorHAnsi"/>
          <w:color w:val="000000"/>
          <w:sz w:val="24"/>
          <w:szCs w:val="24"/>
          <w:shd w:val="clear" w:color="auto" w:fill="FFFFFF"/>
        </w:rPr>
        <w:fldChar w:fldCharType="begin"/>
      </w:r>
      <w:r w:rsidR="009907B6" w:rsidRPr="00C316F8">
        <w:rPr>
          <w:rFonts w:cstheme="minorHAnsi"/>
          <w:color w:val="000000"/>
          <w:sz w:val="24"/>
          <w:szCs w:val="24"/>
          <w:shd w:val="clear" w:color="auto" w:fill="FFFFFF"/>
          <w:lang w:val="es-CO"/>
        </w:rPr>
        <w:instrText xml:space="preserve"> ADDIN ZOTERO_ITEM CSL_CITATION {"citationID":"ci1hAO5x","properties":{"formattedCitation":"(69)","plainCitation":"(69)","noteIndex":0},"citationItems":[{"id":1733,"uris":["http://zotero.org/users/5785509/items/NP37IM7C"],"itemData":{"id":1733,"type":"article-journal","container-title":"SSRN Electronic Journal","DOI":"10.2139/ssrn.3773263","ISSN":"1556-5068","journalAbbreviation":"SSRN Journal","language":"en","source":"DOI.org (Crossref)","title":"Pandemia y conflictos armados en el Caribe colombiano: Informe sobre la violencia armada en el 2020 (Pandemic and Armed Conflict in the Colombian Caribbean: A Report on Armed Violence in 2020)","title-short":"Pandemia y conflictos armados en el Caribe colombiano","URL":"https://www.ssrn.com/abstract=3773263","author":[{"family":"Trejos","given":"Luis"},{"family":"Badillo","given":"Reynell"}],"accessed":{"date-parts":[["2025",5,16]]},"issued":{"date-parts":[["2021"]]}}}],"schema":"https://github.com/citation-style-language/schema/raw/master/csl-citation.json"} </w:instrText>
      </w:r>
      <w:r w:rsidRPr="00C316F8">
        <w:rPr>
          <w:rFonts w:cstheme="minorHAnsi"/>
          <w:color w:val="000000"/>
          <w:sz w:val="24"/>
          <w:szCs w:val="24"/>
          <w:shd w:val="clear" w:color="auto" w:fill="FFFFFF"/>
        </w:rPr>
        <w:fldChar w:fldCharType="separate"/>
      </w:r>
      <w:r w:rsidR="009907B6" w:rsidRPr="00C316F8">
        <w:rPr>
          <w:rFonts w:ascii="Calibri" w:hAnsi="Calibri" w:cs="Calibri"/>
          <w:sz w:val="24"/>
          <w:lang w:val="es-CO"/>
        </w:rPr>
        <w:t>(69)</w:t>
      </w:r>
      <w:r w:rsidRPr="00C316F8">
        <w:rPr>
          <w:rFonts w:cstheme="minorHAnsi"/>
          <w:color w:val="000000"/>
          <w:sz w:val="24"/>
          <w:szCs w:val="24"/>
          <w:shd w:val="clear" w:color="auto" w:fill="FFFFFF"/>
        </w:rPr>
        <w:fldChar w:fldCharType="end"/>
      </w:r>
    </w:p>
    <w:p w14:paraId="7E81EA6A" w14:textId="58E9DF52" w:rsidR="001977CD" w:rsidRPr="00C316F8" w:rsidRDefault="001977CD"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Superar este legado requiere enfoques integrales que combinen atención en salud, reparación psicosocial y fortalecimiento institucional, reconociendo que la reconstrucción del sistema sanitario es condición indispensable para una paz duradera, especialmente en las regiones más golpeadas por la violencia y el abandono histórico</w:t>
      </w:r>
      <w:r w:rsidR="009F2398" w:rsidRPr="00C316F8">
        <w:rPr>
          <w:rFonts w:cstheme="minorHAnsi"/>
          <w:color w:val="000000"/>
          <w:sz w:val="24"/>
          <w:szCs w:val="24"/>
          <w:shd w:val="clear" w:color="auto" w:fill="FFFFFF"/>
          <w:lang w:val="es-CO"/>
        </w:rPr>
        <w:t>.</w:t>
      </w:r>
      <w:r w:rsidRPr="00C316F8">
        <w:rPr>
          <w:rFonts w:cstheme="minorHAnsi"/>
          <w:color w:val="000000"/>
          <w:sz w:val="24"/>
          <w:szCs w:val="24"/>
          <w:shd w:val="clear" w:color="auto" w:fill="FFFFFF"/>
          <w:lang w:val="es-CO"/>
        </w:rPr>
        <w:t xml:space="preserve"> </w:t>
      </w:r>
      <w:r w:rsidRPr="00C316F8">
        <w:rPr>
          <w:rFonts w:cstheme="minorHAnsi"/>
          <w:color w:val="000000"/>
          <w:sz w:val="24"/>
          <w:szCs w:val="24"/>
          <w:shd w:val="clear" w:color="auto" w:fill="FFFFFF"/>
        </w:rPr>
        <w:fldChar w:fldCharType="begin"/>
      </w:r>
      <w:r w:rsidR="00B41531" w:rsidRPr="00C316F8">
        <w:rPr>
          <w:rFonts w:cstheme="minorHAnsi"/>
          <w:color w:val="000000"/>
          <w:sz w:val="24"/>
          <w:szCs w:val="24"/>
          <w:shd w:val="clear" w:color="auto" w:fill="FFFFFF"/>
          <w:lang w:val="es-CO"/>
        </w:rPr>
        <w:instrText xml:space="preserve"> ADDIN ZOTERO_ITEM CSL_CITATION {"citationID":"dmvvAoRd","properties":{"formattedCitation":"(67)","plainCitation":"(67)","noteIndex":0},"citationItems":[{"id":1466,"uris":["http://zotero.org/users/5785509/items/NKR4Q4KT"],"itemData":{"id":1466,"type":"article-journal","container-title":"Ciência &amp; Saúde Coletiva","ISSN":"1413-8123","journalAbbreviation":"Ciência &amp; Saúde Coletiva","page":"349-361","publisher":"SciELO Public Health","title":"The effects of the armed conflict on the life and health in Colombia","volume":"11","author":[{"family":"Franco","given":"Saúl"},{"family":"Suarez","given":"Clara Mercedes"},{"family":"Naranjo","given":"Claudia Beatriz"},{"family":"Báez","given":"Liliana Carolina"},{"family":"Rozo","given":"Patricia"}],"issued":{"date-parts":[["2006"]]}}}],"schema":"https://github.com/citation-style-language/schema/raw/master/csl-citation.json"} </w:instrText>
      </w:r>
      <w:r w:rsidRPr="00C316F8">
        <w:rPr>
          <w:rFonts w:cstheme="minorHAnsi"/>
          <w:color w:val="000000"/>
          <w:sz w:val="24"/>
          <w:szCs w:val="24"/>
          <w:shd w:val="clear" w:color="auto" w:fill="FFFFFF"/>
        </w:rPr>
        <w:fldChar w:fldCharType="separate"/>
      </w:r>
      <w:r w:rsidR="00B41531" w:rsidRPr="00C316F8">
        <w:rPr>
          <w:rFonts w:ascii="Calibri" w:hAnsi="Calibri" w:cs="Calibri"/>
          <w:sz w:val="24"/>
          <w:lang w:val="es-CO"/>
        </w:rPr>
        <w:t>(67)</w:t>
      </w:r>
      <w:r w:rsidRPr="00C316F8">
        <w:rPr>
          <w:rFonts w:cstheme="minorHAnsi"/>
          <w:color w:val="000000"/>
          <w:sz w:val="24"/>
          <w:szCs w:val="24"/>
          <w:shd w:val="clear" w:color="auto" w:fill="FFFFFF"/>
        </w:rPr>
        <w:fldChar w:fldCharType="end"/>
      </w:r>
    </w:p>
    <w:p w14:paraId="6B98267E" w14:textId="66470204" w:rsidR="00F74F0C" w:rsidRPr="00C316F8" w:rsidRDefault="009E252D"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 xml:space="preserve">En síntesis, el conflicto armado afecta la mortalidad por COVID-19 a través de tres mecanismos específicos y documentados. Primero, la destrucción y el abandono de infraestructura sanitaria en zonas de conflicto reduce la capacidad instalada para atender casos graves, incrementando la letalidad. Segundo, la presencia de actores armados que ejercen control territorial impide el acceso de brigadas de salud, vacunación y rastreo de contactos en municipios históricamente afectados por la violencia. Tercero, el conflicto profundiza la pobreza multidimensional en los territorios afectados, reduciendo la capacidad de los hogares para cumplir medidas de aislamiento y acceder oportunamente a atención médica. Estos mecanismos operan de manera simultánea y acumulativa, configurando una vulnerabilidad estructural que trasciende la pobreza per se y que justifica el análisis diferenciado de los territorios con mayor exposición histórica al conflicto armado en Colombia. </w:t>
      </w:r>
      <w:r w:rsidR="00527B3A" w:rsidRPr="00C316F8">
        <w:rPr>
          <w:rFonts w:cstheme="minorHAnsi"/>
          <w:color w:val="000000"/>
          <w:sz w:val="24"/>
          <w:szCs w:val="24"/>
          <w:shd w:val="clear" w:color="auto" w:fill="FFFFFF"/>
          <w:lang w:val="es-CO"/>
        </w:rPr>
        <w:fldChar w:fldCharType="begin"/>
      </w:r>
      <w:r w:rsidR="008427EE" w:rsidRPr="00C316F8">
        <w:rPr>
          <w:rFonts w:cstheme="minorHAnsi"/>
          <w:color w:val="000000"/>
          <w:sz w:val="24"/>
          <w:szCs w:val="24"/>
          <w:shd w:val="clear" w:color="auto" w:fill="FFFFFF"/>
          <w:lang w:val="es-CO"/>
        </w:rPr>
        <w:instrText xml:space="preserve"> ADDIN ZOTERO_ITEM CSL_CITATION {"citationID":"a2o57824sgo","properties":{"unsorted":false,"formattedCitation":"(67\\uc0\\u8211{}69)","plainCitation":"(67–69)","noteIndex":0},"citationItems":[{"id":1733,"uris":["http://zotero.org/users/5785509/items/NP37IM7C"],"itemData":{"id":1733,"type":"article-journal","container-title":"SSRN Electronic Journal","DOI":"10.2139/ssrn.3773263","ISSN":"1556-5068","journalAbbreviation":"SSRN Journal","language":"en","source":"DOI.org (Crossref)","title":"Pandemia y conflictos armados en el Caribe colombiano: Informe sobre la violencia armada en el 2020 (Pandemic and Armed Conflict in the Colombian Caribbean: A Report on Armed Violence in 2020)","title-short":"Pandemia y conflictos armados en el Caribe colombiano","URL":"https://www.ssrn.com/abstract=3773263","author":[{"family":"Trejos","given":"Luis"},{"family":"Badillo","given":"Reynell"}],"accessed":{"date-parts":[["2025",5,16]]},"issued":{"date-parts":[["2021"]]}}},{"id":1466,"uris":["http://zotero.org/users/5785509/items/NKR4Q4KT"],"itemData":{"id":1466,"type":"article-journal","container-title":"Ciência &amp; Saúde Coletiva","ISSN":"1413-8123","journalAbbreviation":"Ciência &amp; Saúde Coletiva","page":"349-361","publisher":"SciELO Public Health","title":"The effects of the armed conflict on the life and health in Colombia","volume":"11","author":[{"family":"Franco","given":"Saúl"},{"family":"Suarez","given":"Clara Mercedes"},{"family":"Naranjo","given":"Claudia Beatriz"},{"family":"Báez","given":"Liliana Carolina"},{"family":"Rozo","given":"Patricia"}],"issued":{"date-parts":[["2006"]]}}},{"id":1467,"uris":["http://zotero.org/users/5785509/items/DFKAEEW7"],"itemData":{"id":1467,"type":"article-journal","title":"The relationship between multidimensional poverty and armed conflict: the case of Antioquia, Colombia","author":[{"family":"Loaiza","given":"Osmar"},{"family":"Munetón","given":"Guberney"},{"family":"Vanegas","given":"Gabriel"}],"issued":{"date-parts":[["2014"]]}}}],"schema":"https://github.com/citation-style-language/schema/raw/master/csl-citation.json"} </w:instrText>
      </w:r>
      <w:r w:rsidR="00527B3A" w:rsidRPr="00C316F8">
        <w:rPr>
          <w:rFonts w:cstheme="minorHAnsi"/>
          <w:color w:val="000000"/>
          <w:sz w:val="24"/>
          <w:szCs w:val="24"/>
          <w:shd w:val="clear" w:color="auto" w:fill="FFFFFF"/>
          <w:lang w:val="es-CO"/>
        </w:rPr>
        <w:fldChar w:fldCharType="separate"/>
      </w:r>
      <w:r w:rsidR="008427EE" w:rsidRPr="00C316F8">
        <w:rPr>
          <w:rFonts w:ascii="Calibri" w:hAnsi="Calibri" w:cs="Calibri"/>
          <w:sz w:val="24"/>
          <w:szCs w:val="24"/>
          <w:lang w:val="es-CO"/>
        </w:rPr>
        <w:t>(67–69)</w:t>
      </w:r>
      <w:r w:rsidR="00527B3A" w:rsidRPr="00C316F8">
        <w:rPr>
          <w:rFonts w:cstheme="minorHAnsi"/>
          <w:color w:val="000000"/>
          <w:sz w:val="24"/>
          <w:szCs w:val="24"/>
          <w:shd w:val="clear" w:color="auto" w:fill="FFFFFF"/>
          <w:lang w:val="es-CO"/>
        </w:rPr>
        <w:fldChar w:fldCharType="end"/>
      </w:r>
    </w:p>
    <w:p w14:paraId="59212208" w14:textId="07205BF5" w:rsidR="00F74F0C" w:rsidRPr="00C316F8" w:rsidRDefault="0064598C" w:rsidP="0064598C">
      <w:pPr>
        <w:pStyle w:val="Ttulo1"/>
        <w:rPr>
          <w:shd w:val="clear" w:color="auto" w:fill="FFFFFF"/>
          <w:lang w:val="es-CO"/>
        </w:rPr>
      </w:pPr>
      <w:bookmarkStart w:id="33" w:name="_Toc229834646"/>
      <w:r w:rsidRPr="00C316F8">
        <w:rPr>
          <w:shd w:val="clear" w:color="auto" w:fill="FFFFFF"/>
          <w:lang w:val="es-CO"/>
        </w:rPr>
        <w:lastRenderedPageBreak/>
        <w:t>3.5</w:t>
      </w:r>
      <w:r w:rsidRPr="00C316F8">
        <w:rPr>
          <w:shd w:val="clear" w:color="auto" w:fill="FFFFFF"/>
          <w:lang w:val="es-CO"/>
        </w:rPr>
        <w:tab/>
        <w:t>Edad y COVID-19</w:t>
      </w:r>
      <w:bookmarkEnd w:id="33"/>
    </w:p>
    <w:p w14:paraId="76BAFCD2" w14:textId="77777777" w:rsidR="001977CD" w:rsidRPr="00C316F8" w:rsidRDefault="001977CD" w:rsidP="003B711F">
      <w:pPr>
        <w:jc w:val="both"/>
        <w:rPr>
          <w:rFonts w:cstheme="minorHAnsi"/>
          <w:color w:val="000000"/>
          <w:sz w:val="24"/>
          <w:szCs w:val="24"/>
          <w:shd w:val="clear" w:color="auto" w:fill="FFFFFF"/>
          <w:lang w:val="es-CO"/>
        </w:rPr>
      </w:pPr>
    </w:p>
    <w:p w14:paraId="12248750" w14:textId="6D5136E0" w:rsidR="009D0262" w:rsidRPr="00C316F8" w:rsidRDefault="00AE1993"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El estudio de personas centenarias representa una valiosa oportunidad para profundizar en los factores que explican la longevidad humana. A diferencia del resto de las especies, en los seres humanos los determinantes biológicos no actúan de forma aislada, sino que se ven influidos por variables sociales y culturales, lo que añade una capa de complejidad a la identificación de los elementos genéticos asociados con vivir más allá de los 100 años. Investigaciones recientes han señalado la relevancia de factores como la localización geográfica, la estructura poblacional, la homocigosidad genética y la interacción entre los genomas nuclear y mitocondrial. En este marco, ha surgido el concepto de “sincronización compleja de alelos”, que sugiere que la probabilidad de alcanzar edades avanzadas podría depender de una coordinación precisa entre múltiples variantes genéticas a lo largo del tiempo. Esto subraya la necesidad de abordar la longevidad como un proceso multifactorial y profundamente influido por el entorno vital del individuo</w:t>
      </w:r>
      <w:r w:rsidR="00DC4442" w:rsidRPr="00C316F8">
        <w:rPr>
          <w:rFonts w:cstheme="minorHAnsi"/>
          <w:color w:val="000000"/>
          <w:sz w:val="24"/>
          <w:szCs w:val="24"/>
          <w:shd w:val="clear" w:color="auto" w:fill="FFFFFF"/>
          <w:lang w:val="es-CO"/>
        </w:rPr>
        <w:t>.</w:t>
      </w:r>
      <w:r w:rsidR="004F3625" w:rsidRPr="00C316F8">
        <w:rPr>
          <w:rFonts w:cstheme="minorHAnsi"/>
          <w:color w:val="000000"/>
          <w:sz w:val="24"/>
          <w:szCs w:val="24"/>
          <w:shd w:val="clear" w:color="auto" w:fill="FFFFFF"/>
          <w:lang w:val="es-CO"/>
        </w:rPr>
        <w:t xml:space="preserve"> </w:t>
      </w:r>
      <w:r w:rsidR="000A5C12" w:rsidRPr="00C316F8">
        <w:rPr>
          <w:rFonts w:cstheme="minorHAnsi"/>
          <w:color w:val="000000"/>
          <w:sz w:val="24"/>
          <w:szCs w:val="24"/>
          <w:shd w:val="clear" w:color="auto" w:fill="FFFFFF"/>
        </w:rPr>
        <w:fldChar w:fldCharType="begin"/>
      </w:r>
      <w:r w:rsidR="00882045" w:rsidRPr="00C316F8">
        <w:rPr>
          <w:rFonts w:cstheme="minorHAnsi"/>
          <w:color w:val="000000"/>
          <w:sz w:val="24"/>
          <w:szCs w:val="24"/>
          <w:shd w:val="clear" w:color="auto" w:fill="FFFFFF"/>
          <w:lang w:val="es-CO"/>
        </w:rPr>
        <w:instrText xml:space="preserve"> ADDIN ZOTERO_ITEM CSL_CITATION {"citationID":"IKbl9Soh","properties":{"formattedCitation":"(70)","plainCitation":"(70)","noteIndex":0},"citationItems":[{"id":972,"uris":["http://zotero.org/users/5785509/items/TN7KGX74"],"itemData":{"id":972,"type":"article-journal","container-title":"Science of Aging Knowledge Environment","ISSN":"1539-6150","issue":"10","journalAbbreviation":"Science of Aging Knowledge Environment","page":"pe20-pe20","publisher":"American Association for the Advancement of Science","title":"The unusual genetics of human longevity","volume":"2006","author":[{"family":"De Benedictis","given":"Giovanna"},{"family":"Franceschi","given":"Claudio"}],"issued":{"date-parts":[["2006"]]}}}],"schema":"https://github.com/citation-style-language/schema/raw/master/csl-citation.json"} </w:instrText>
      </w:r>
      <w:r w:rsidR="000A5C12" w:rsidRPr="00C316F8">
        <w:rPr>
          <w:rFonts w:cstheme="minorHAnsi"/>
          <w:color w:val="000000"/>
          <w:sz w:val="24"/>
          <w:szCs w:val="24"/>
          <w:shd w:val="clear" w:color="auto" w:fill="FFFFFF"/>
        </w:rPr>
        <w:fldChar w:fldCharType="separate"/>
      </w:r>
      <w:r w:rsidR="00882045" w:rsidRPr="00C316F8">
        <w:rPr>
          <w:rFonts w:ascii="Calibri" w:hAnsi="Calibri" w:cs="Calibri"/>
          <w:sz w:val="24"/>
          <w:lang w:val="es-CO"/>
        </w:rPr>
        <w:t>(70)</w:t>
      </w:r>
      <w:r w:rsidR="000A5C12" w:rsidRPr="00C316F8">
        <w:rPr>
          <w:rFonts w:cstheme="minorHAnsi"/>
          <w:color w:val="000000"/>
          <w:sz w:val="24"/>
          <w:szCs w:val="24"/>
          <w:shd w:val="clear" w:color="auto" w:fill="FFFFFF"/>
        </w:rPr>
        <w:fldChar w:fldCharType="end"/>
      </w:r>
    </w:p>
    <w:p w14:paraId="74AF329C" w14:textId="01A38124" w:rsidR="00464146" w:rsidRPr="00C316F8" w:rsidRDefault="00E57F60"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Diversos estudios han sugerido que la longevidad extrema podría conferir cierta ventaja inmunológica frente a enfermedades infecciosas, como la COVID-19. En este contexto, una investigación realizada en Sicilia reveló que los centenarios nacidos antes de 1919 (con 102 años o más en 2020) presentaron una menor mortalidad durante el primer año de la pandemia en comparación con centenarios más jóvenes (100–101 años), quienes sí registraron un exceso significativo de muertes. Este patrón sugiere una posible resistencia entre quienes estuvieron expuestos en su infancia a la pandemia de gripe española de 1918, lo que podría haber ejercido un efecto selectivo sobre su sistema inmunológico a lo largo de la vida. Además, el estudio confirmó una mayor resiliencia frente al COVID-19 en mujeres mayores en comparación con los hombres, lo cual concuerda con hallazgos previos sobre la inmunosenescencia y la respuesta inmunitaria diferencial entre sexos. Aunque los mecanismos exactos siguen siendo inciertos, estos resultados ofrecen una perspectiva novedosa sobre las trayectorias inmunológicas asociadas al envejecimiento extremo y su implicación en la respuesta ante nuevas amenazas virale</w:t>
      </w:r>
      <w:r w:rsidR="00691EA6" w:rsidRPr="00C316F8">
        <w:rPr>
          <w:rFonts w:cstheme="minorHAnsi"/>
          <w:color w:val="000000"/>
          <w:sz w:val="24"/>
          <w:szCs w:val="24"/>
          <w:shd w:val="clear" w:color="auto" w:fill="FFFFFF"/>
          <w:lang w:val="es-CO"/>
        </w:rPr>
        <w:t xml:space="preserve">s </w:t>
      </w:r>
      <w:r w:rsidR="00691EA6" w:rsidRPr="00C316F8">
        <w:rPr>
          <w:rFonts w:cstheme="minorHAnsi"/>
          <w:color w:val="000000"/>
          <w:sz w:val="24"/>
          <w:szCs w:val="24"/>
          <w:shd w:val="clear" w:color="auto" w:fill="FFFFFF"/>
        </w:rPr>
        <w:fldChar w:fldCharType="begin"/>
      </w:r>
      <w:r w:rsidR="00A32FEA" w:rsidRPr="00C316F8">
        <w:rPr>
          <w:rFonts w:cstheme="minorHAnsi"/>
          <w:color w:val="000000"/>
          <w:sz w:val="24"/>
          <w:szCs w:val="24"/>
          <w:shd w:val="clear" w:color="auto" w:fill="FFFFFF"/>
          <w:lang w:val="es-CO"/>
        </w:rPr>
        <w:instrText xml:space="preserve"> ADDIN ZOTERO_ITEM CSL_CITATION {"citationID":"e5XaTcJP","properties":{"formattedCitation":"(71)","plainCitation":"(71)","noteIndex":0},"citationItems":[{"id":984,"uris":["http://zotero.org/users/5785509/items/NS9NNE47"],"itemData":{"id":984,"type":"article-journal","container-title":"Aging Clinical and Experimental Research","ISSN":"1720-8319","issue":"1","journalAbbreviation":"Aging Clinical and Experimental Research","page":"217-220","publisher":"Springer","title":"Centenarians born before 1919 are resistant to COVID-19","volume":"35","author":[{"family":"Caruso","given":"Calogero"},{"family":"Accardi","given":"Giulia"},{"family":"Aiello","given":"Anna"},{"family":"Calabrò","given":"Anna"},{"family":"Ligotti","given":"Mattia Emanuela"},{"family":"Candore","given":"Giuseppina"}],"issued":{"date-parts":[["2023"]]}}}],"schema":"https://github.com/citation-style-language/schema/raw/master/csl-citation.json"} </w:instrText>
      </w:r>
      <w:r w:rsidR="00691EA6" w:rsidRPr="00C316F8">
        <w:rPr>
          <w:rFonts w:cstheme="minorHAnsi"/>
          <w:color w:val="000000"/>
          <w:sz w:val="24"/>
          <w:szCs w:val="24"/>
          <w:shd w:val="clear" w:color="auto" w:fill="FFFFFF"/>
        </w:rPr>
        <w:fldChar w:fldCharType="separate"/>
      </w:r>
      <w:r w:rsidR="00A32FEA" w:rsidRPr="00C316F8">
        <w:rPr>
          <w:rFonts w:ascii="Calibri" w:hAnsi="Calibri" w:cs="Calibri"/>
          <w:sz w:val="24"/>
          <w:lang w:val="es-CO"/>
        </w:rPr>
        <w:t>(71)</w:t>
      </w:r>
      <w:r w:rsidR="00691EA6" w:rsidRPr="00C316F8">
        <w:rPr>
          <w:rFonts w:cstheme="minorHAnsi"/>
          <w:color w:val="000000"/>
          <w:sz w:val="24"/>
          <w:szCs w:val="24"/>
          <w:shd w:val="clear" w:color="auto" w:fill="FFFFFF"/>
        </w:rPr>
        <w:fldChar w:fldCharType="end"/>
      </w:r>
      <w:r w:rsidR="00137751" w:rsidRPr="00C316F8">
        <w:rPr>
          <w:rFonts w:cstheme="minorHAnsi"/>
          <w:color w:val="000000"/>
          <w:sz w:val="24"/>
          <w:szCs w:val="24"/>
          <w:shd w:val="clear" w:color="auto" w:fill="FFFFFF"/>
          <w:lang w:val="es-CO"/>
        </w:rPr>
        <w:t>.</w:t>
      </w:r>
      <w:r w:rsidR="003B376F" w:rsidRPr="00C316F8">
        <w:rPr>
          <w:rFonts w:cstheme="minorHAnsi"/>
          <w:color w:val="000000"/>
          <w:sz w:val="24"/>
          <w:szCs w:val="24"/>
          <w:shd w:val="clear" w:color="auto" w:fill="FFFFFF"/>
          <w:lang w:val="es-CO"/>
        </w:rPr>
        <w:t xml:space="preserve"> A esta evidencia se suma un estudio realizado en Lombardía, Italia, que analizó la mortalidad general durante el pico de la pandemia en marzo de 2020 y reveló que, si bien la mortalidad por COVID-19 aumentó de manera continua con la edad, los hombres mayores de 90 años mostraron una sorprendente resiliencia relativa frente a la enfermedad en comparación con sus pares femeninas. Utilizando datos de mortalidad total en lugar de solo casos confirmados, los autores hallaron que, a pesar de su edad avanzada, los centenarios masculinos parecían ser un grupo selecto de individuos más robustos y con mejor salud que las mujeres centenarias, quienes, aunque numéricamente predominan, tienden a acumular mayor morbilidad. Este hallazgo pone en entredicho la aparente ventaja de supervivencia femenina, ya que en edades extremas los hombres que alcanzan los 100 años lo hacen siendo biológicamente más jóvenes y con menores niveles de “inflammaging”, un proceso inflamatorio crónico </w:t>
      </w:r>
      <w:r w:rsidR="003B376F" w:rsidRPr="00C316F8">
        <w:rPr>
          <w:rFonts w:cstheme="minorHAnsi"/>
          <w:color w:val="000000"/>
          <w:sz w:val="24"/>
          <w:szCs w:val="24"/>
          <w:shd w:val="clear" w:color="auto" w:fill="FFFFFF"/>
          <w:lang w:val="es-CO"/>
        </w:rPr>
        <w:lastRenderedPageBreak/>
        <w:t>relacionado con el envejecimiento. El estudio sugiere que esta heterogeneidad inmunológica y biológica debe ser considerada al diseñar estrategias de protección para adultos mayores en contextos de crisis sanitaria como la pandemia por SARS-CoV-2</w:t>
      </w:r>
      <w:r w:rsidR="00DC4442" w:rsidRPr="00C316F8">
        <w:rPr>
          <w:rFonts w:cstheme="minorHAnsi"/>
          <w:color w:val="000000"/>
          <w:sz w:val="24"/>
          <w:szCs w:val="24"/>
          <w:shd w:val="clear" w:color="auto" w:fill="FFFFFF"/>
          <w:lang w:val="es-CO"/>
        </w:rPr>
        <w:t>.</w:t>
      </w:r>
      <w:r w:rsidR="00465004" w:rsidRPr="00C316F8">
        <w:rPr>
          <w:rFonts w:cstheme="minorHAnsi"/>
          <w:color w:val="000000"/>
          <w:sz w:val="24"/>
          <w:szCs w:val="24"/>
          <w:shd w:val="clear" w:color="auto" w:fill="FFFFFF"/>
          <w:lang w:val="es-CO"/>
        </w:rPr>
        <w:t xml:space="preserve"> </w:t>
      </w:r>
      <w:r w:rsidR="00465004" w:rsidRPr="00C316F8">
        <w:rPr>
          <w:rFonts w:cstheme="minorHAnsi"/>
          <w:color w:val="000000"/>
          <w:sz w:val="24"/>
          <w:szCs w:val="24"/>
          <w:shd w:val="clear" w:color="auto" w:fill="FFFFFF"/>
        </w:rPr>
        <w:fldChar w:fldCharType="begin"/>
      </w:r>
      <w:r w:rsidR="00C0702A" w:rsidRPr="00C316F8">
        <w:rPr>
          <w:rFonts w:cstheme="minorHAnsi"/>
          <w:color w:val="000000"/>
          <w:sz w:val="24"/>
          <w:szCs w:val="24"/>
          <w:shd w:val="clear" w:color="auto" w:fill="FFFFFF"/>
          <w:lang w:val="es-CO"/>
        </w:rPr>
        <w:instrText xml:space="preserve"> ADDIN ZOTERO_ITEM CSL_CITATION {"citationID":"snaKvbHM","properties":{"formattedCitation":"(72)","plainCitation":"(72)","noteIndex":0},"citationItems":[{"id":960,"uris":["http://zotero.org/users/5785509/items/NGA94F2Z"],"itemData":{"id":960,"type":"article-journal","container-title":"Aging (Albany NY)","issue":"15","journalAbbreviation":"Aging (Albany NY)","page":"15186","publisher":"Impact Journals, LLC","title":"COVID-19 mortality in Lombardy: the vulnerability of the oldest old and the resilience of male centenarians","volume":"12","author":[{"family":"Marcon","given":"Gabriella"},{"family":"Tettamanti","given":"Mauro"},{"family":"Capacci","given":"Giorgia"},{"family":"Fontanel","given":"Giulia"},{"family":"Spanò","given":"Marco"},{"family":"Nobili","given":"Alessandro"},{"family":"Forloni","given":"Gianluigi"},{"family":"Franceschi","given":"Claudio"}],"issued":{"date-parts":[["2020"]]}}}],"schema":"https://github.com/citation-style-language/schema/raw/master/csl-citation.json"} </w:instrText>
      </w:r>
      <w:r w:rsidR="00465004" w:rsidRPr="00C316F8">
        <w:rPr>
          <w:rFonts w:cstheme="minorHAnsi"/>
          <w:color w:val="000000"/>
          <w:sz w:val="24"/>
          <w:szCs w:val="24"/>
          <w:shd w:val="clear" w:color="auto" w:fill="FFFFFF"/>
        </w:rPr>
        <w:fldChar w:fldCharType="separate"/>
      </w:r>
      <w:r w:rsidR="00C0702A" w:rsidRPr="00C316F8">
        <w:rPr>
          <w:rFonts w:ascii="Calibri" w:hAnsi="Calibri" w:cs="Calibri"/>
          <w:sz w:val="24"/>
          <w:lang w:val="es-CO"/>
        </w:rPr>
        <w:t>(72)</w:t>
      </w:r>
      <w:r w:rsidR="00465004" w:rsidRPr="00C316F8">
        <w:rPr>
          <w:rFonts w:cstheme="minorHAnsi"/>
          <w:color w:val="000000"/>
          <w:sz w:val="24"/>
          <w:szCs w:val="24"/>
          <w:shd w:val="clear" w:color="auto" w:fill="FFFFFF"/>
        </w:rPr>
        <w:fldChar w:fldCharType="end"/>
      </w:r>
    </w:p>
    <w:p w14:paraId="648BD3BB" w14:textId="3C3E53F9" w:rsidR="008A4EA5" w:rsidRPr="00C316F8" w:rsidRDefault="008A4EA5"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 xml:space="preserve">A estos descubrimientos se suman los hallazgos de una investigación realizada en Brasil, en la que se examinaron tres supercentenarios no vacunados que lograron recuperarse de la COVID-19 durante 2020, antes de la introducción de nuevas variantes del virus y de las campañas de vacunación. A pesar de su longevidad, estos individuos presentaron una respuesta inmunológica humoral notable, con niveles elevados de anticuerpos IgG y títulos de neutralización considerados clínicamente efectivos. Asimismo, mostraron un perfil inmunometabólico caracterizado por la abundancia de proteínas y metabolitos vinculados a mecanismos de defensa innata, sin evidencia de autoanticuerpos neutralizantes contra interferones tipo I ni alteraciones genéticas relacionadas con inmunodeficiencias congénitas. Los análisis ómicos revelaron una activación significativa de vías metabólicas como la glucólisis y la síntesis de ácidos grasos insaturados, procesos cruciales en la regulación de la inflamación y en la respuesta antiviral. Además, todos presentaban anticuerpos frente </w:t>
      </w:r>
      <w:r w:rsidR="001727C8" w:rsidRPr="00C316F8">
        <w:rPr>
          <w:rFonts w:cstheme="minorHAnsi"/>
          <w:color w:val="000000"/>
          <w:sz w:val="24"/>
          <w:szCs w:val="24"/>
          <w:shd w:val="clear" w:color="auto" w:fill="FFFFFF"/>
          <w:lang w:val="es-CO"/>
        </w:rPr>
        <w:t>al</w:t>
      </w:r>
      <w:r w:rsidRPr="00C316F8">
        <w:rPr>
          <w:rFonts w:cstheme="minorHAnsi"/>
          <w:color w:val="000000"/>
          <w:sz w:val="24"/>
          <w:szCs w:val="24"/>
          <w:shd w:val="clear" w:color="auto" w:fill="FFFFFF"/>
          <w:lang w:val="es-CO"/>
        </w:rPr>
        <w:t xml:space="preserve"> coronavirus estacionales, lo que podría indicar una inmunidad previa entrenada por exposiciones repetidas a patógenos a lo largo de su vida. </w:t>
      </w:r>
      <w:r w:rsidR="00FB01B8" w:rsidRPr="00C316F8">
        <w:rPr>
          <w:rFonts w:cstheme="minorHAnsi"/>
          <w:color w:val="000000"/>
          <w:sz w:val="24"/>
          <w:szCs w:val="24"/>
          <w:shd w:val="clear" w:color="auto" w:fill="FFFFFF"/>
          <w:lang w:val="es-CO"/>
        </w:rPr>
        <w:t xml:space="preserve">Dado que se trata de un reporte de tres casos, estas observaciones deben interpretarse con cautela y no permiten generalizaciones sobre los mecanismos de protección en la población centenaria; su valor radica en generar hipótesis para investigaciones con muestras más amplias. </w:t>
      </w:r>
      <w:r w:rsidR="002A1B8B" w:rsidRPr="00C316F8">
        <w:rPr>
          <w:rFonts w:cstheme="minorHAnsi"/>
          <w:color w:val="000000"/>
          <w:sz w:val="24"/>
          <w:szCs w:val="24"/>
          <w:shd w:val="clear" w:color="auto" w:fill="FFFFFF"/>
        </w:rPr>
        <w:fldChar w:fldCharType="begin"/>
      </w:r>
      <w:r w:rsidR="0006640E" w:rsidRPr="00C316F8">
        <w:rPr>
          <w:rFonts w:cstheme="minorHAnsi"/>
          <w:color w:val="000000"/>
          <w:sz w:val="24"/>
          <w:szCs w:val="24"/>
          <w:shd w:val="clear" w:color="auto" w:fill="FFFFFF"/>
          <w:lang w:val="es-CO"/>
        </w:rPr>
        <w:instrText xml:space="preserve"> ADDIN ZOTERO_ITEM CSL_CITATION {"citationID":"8umZMwcD","properties":{"formattedCitation":"(73)","plainCitation":"(73)","noteIndex":0},"citationItems":[{"id":1544,"uris":["http://zotero.org/users/5785509/items/KQY27CF7"],"itemData":{"id":1544,"type":"article-journal","container-title":"Immunity &amp; Ageing","ISSN":"1742-4933","issue":"1","journalAbbreviation":"Immunity &amp; Ageing","page":"57","publisher":"Springer","title":"The oldest unvaccinated Covid-19 survivors in South America","volume":"19","author":[{"family":"Castro","given":"Mateus V","non-dropping-particle":"de"},{"family":"Silva","given":"Monize VR"},{"family":"Naslavsky","given":"Michel S"},{"family":"Scliar","given":"Marilia O"},{"family":"Nunes","given":"Kelly"},{"family":"Passos-Bueno","given":"Maria Rita"},{"family":"Castelli","given":"Erick C"},{"family":"Magawa","given":"Jhosiene Y"},{"family":"Adami","given":"Flávia L"},{"family":"Moretti","given":"Ana IS"}],"issued":{"date-parts":[["2022"]]}}}],"schema":"https://github.com/citation-style-language/schema/raw/master/csl-citation.json"} </w:instrText>
      </w:r>
      <w:r w:rsidR="002A1B8B" w:rsidRPr="00C316F8">
        <w:rPr>
          <w:rFonts w:cstheme="minorHAnsi"/>
          <w:color w:val="000000"/>
          <w:sz w:val="24"/>
          <w:szCs w:val="24"/>
          <w:shd w:val="clear" w:color="auto" w:fill="FFFFFF"/>
        </w:rPr>
        <w:fldChar w:fldCharType="separate"/>
      </w:r>
      <w:r w:rsidR="0006640E" w:rsidRPr="00C316F8">
        <w:rPr>
          <w:rFonts w:ascii="Calibri" w:hAnsi="Calibri" w:cs="Calibri"/>
          <w:sz w:val="24"/>
          <w:lang w:val="es-CO"/>
        </w:rPr>
        <w:t>(73)</w:t>
      </w:r>
      <w:r w:rsidR="002A1B8B" w:rsidRPr="00C316F8">
        <w:rPr>
          <w:rFonts w:cstheme="minorHAnsi"/>
          <w:color w:val="000000"/>
          <w:sz w:val="24"/>
          <w:szCs w:val="24"/>
          <w:shd w:val="clear" w:color="auto" w:fill="FFFFFF"/>
        </w:rPr>
        <w:fldChar w:fldCharType="end"/>
      </w:r>
    </w:p>
    <w:p w14:paraId="115030AB" w14:textId="0B8673B4" w:rsidR="00E51F9B" w:rsidRPr="00C316F8" w:rsidRDefault="00AF1E7B"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En esta misma línea,</w:t>
      </w:r>
      <w:r w:rsidR="00657DB6" w:rsidRPr="00C316F8">
        <w:rPr>
          <w:rFonts w:cstheme="minorHAnsi"/>
          <w:color w:val="000000"/>
          <w:sz w:val="24"/>
          <w:szCs w:val="24"/>
          <w:shd w:val="clear" w:color="auto" w:fill="FFFFFF"/>
          <w:lang w:val="es-CO"/>
        </w:rPr>
        <w:t xml:space="preserve"> e</w:t>
      </w:r>
      <w:r w:rsidRPr="00C316F8">
        <w:rPr>
          <w:rFonts w:cstheme="minorHAnsi"/>
          <w:color w:val="000000"/>
          <w:sz w:val="24"/>
          <w:szCs w:val="24"/>
          <w:shd w:val="clear" w:color="auto" w:fill="FFFFFF"/>
          <w:lang w:val="es-CO"/>
        </w:rPr>
        <w:t>l estudio COOLCEN, realizado en Colombia, ofrece una descripción detallada de las características demográficas y clínicas de una cohorte nacional de 2.964 centenarios, identificados a partir de una base de datos poblacional de más de dos millones de personas afiliadas a una aseguradora de salud. Los principales hallazgos muestran que el 50,7 % de los centenarios eran mujeres, la mayoría vivía en zonas urbanas (64,9 %) y el 98,7 % estaba cubierto por régimen subsidiado, lo cual evidencia su condición socioeconómica vulnerable. Contrario a lo reportado en estudios previos, se encontró una baja prevalencia de enfermedades crónicas relacionadas con la edad: hipertensión (8,6 %), enfermedad renal crónica (4,4 %) y diabetes tipo 2 (2,1 %). Además, solo el 9,27 % tenía alguna condición crónica y apenas el 5,46 % presentaba multimorbilidad. No se reportaron casos de VIH, tuberculosis o enfermedades hematológicas. La prevalencia de COVID-19 fue del 2 %, significativamente menor en comparación con otros grupos etarios. Geográficamente, los centenarios se concentraron en la región Caribe, con posibles zonas azules en Sucre y Bolívar. En comparación con otras cohortes internacionales, como las de las zonas azules, los centenarios colombianos presentan perfiles clínicos similares en cuanto a salud relativa, pero con particularidades en la distribución por sexo y condiciones sociales</w:t>
      </w:r>
      <w:r w:rsidR="00015D57" w:rsidRPr="00C316F8">
        <w:rPr>
          <w:rFonts w:cstheme="minorHAnsi"/>
          <w:color w:val="000000"/>
          <w:sz w:val="24"/>
          <w:szCs w:val="24"/>
          <w:shd w:val="clear" w:color="auto" w:fill="FFFFFF"/>
          <w:lang w:val="es-CO"/>
        </w:rPr>
        <w:t xml:space="preserve">. </w:t>
      </w:r>
      <w:r w:rsidRPr="00C316F8">
        <w:rPr>
          <w:rFonts w:cstheme="minorHAnsi"/>
          <w:color w:val="000000"/>
          <w:sz w:val="24"/>
          <w:szCs w:val="24"/>
          <w:shd w:val="clear" w:color="auto" w:fill="FFFFFF"/>
        </w:rPr>
        <w:fldChar w:fldCharType="begin"/>
      </w:r>
      <w:r w:rsidR="00181B13" w:rsidRPr="00C316F8">
        <w:rPr>
          <w:rFonts w:cstheme="minorHAnsi"/>
          <w:color w:val="000000"/>
          <w:sz w:val="24"/>
          <w:szCs w:val="24"/>
          <w:shd w:val="clear" w:color="auto" w:fill="FFFFFF"/>
          <w:lang w:val="es-CO"/>
        </w:rPr>
        <w:instrText xml:space="preserve"> ADDIN ZOTERO_ITEM CSL_CITATION {"citationID":"DSWIYoWi","properties":{"formattedCitation":"(74)","plainCitation":"(74)","noteIndex":0},"citationItems":[{"id":963,"uris":["http://zotero.org/users/5785509/items/FUSIGAJI"],"itemData":{"id":963,"type":"article-journal","container-title":"Archives of Gerontology and Geriatrics Plus","ISSN":"2950-3078","journalAbbreviation":"Archives of Gerontology and Geriatrics Plus","page":"100006","publisher":"Elsevier","title":"Demographics and clinical characteristics of a new population of Centenarians in Colombia. The COOLCEN cohort","author":[{"family":"Lozada-Martinez","given":"Ivan David"},{"family":"Marín","given":"Juan Sebastian"},{"family":"Castelblanco-Toro","given":"Sandra Milena"},{"family":"Mazenett-Granados","given":"Enrique A"},{"family":"Suárez","given":"John Fredy"},{"family":"Sarmiento","given":"Mauricio"},{"family":"Anaya","given":"Juan-Manuel"}],"issued":{"date-parts":[["2024"]]}}}],"schema":"https://github.com/citation-style-language/schema/raw/master/csl-citation.json"} </w:instrText>
      </w:r>
      <w:r w:rsidRPr="00C316F8">
        <w:rPr>
          <w:rFonts w:cstheme="minorHAnsi"/>
          <w:color w:val="000000"/>
          <w:sz w:val="24"/>
          <w:szCs w:val="24"/>
          <w:shd w:val="clear" w:color="auto" w:fill="FFFFFF"/>
        </w:rPr>
        <w:fldChar w:fldCharType="separate"/>
      </w:r>
      <w:r w:rsidR="00181B13" w:rsidRPr="00C316F8">
        <w:rPr>
          <w:rFonts w:ascii="Calibri" w:hAnsi="Calibri" w:cs="Calibri"/>
          <w:sz w:val="24"/>
          <w:lang w:val="es-CO"/>
        </w:rPr>
        <w:t>(74)</w:t>
      </w:r>
      <w:r w:rsidRPr="00C316F8">
        <w:rPr>
          <w:rFonts w:cstheme="minorHAnsi"/>
          <w:color w:val="000000"/>
          <w:sz w:val="24"/>
          <w:szCs w:val="24"/>
          <w:shd w:val="clear" w:color="auto" w:fill="FFFFFF"/>
        </w:rPr>
        <w:fldChar w:fldCharType="end"/>
      </w:r>
    </w:p>
    <w:p w14:paraId="5F5B6A40" w14:textId="50C1000C" w:rsidR="00C3076F" w:rsidRPr="00C316F8" w:rsidRDefault="00C3076F"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 xml:space="preserve">El artículo “Hypothetical COVID-19 protection mechanism: hints from centenarians” plantea que los centenarios podrían ofrecer claves importantes para comprender los mecanismos </w:t>
      </w:r>
      <w:r w:rsidRPr="00C316F8">
        <w:rPr>
          <w:rFonts w:cstheme="minorHAnsi"/>
          <w:color w:val="000000"/>
          <w:sz w:val="24"/>
          <w:szCs w:val="24"/>
          <w:shd w:val="clear" w:color="auto" w:fill="FFFFFF"/>
          <w:lang w:val="es-CO"/>
        </w:rPr>
        <w:lastRenderedPageBreak/>
        <w:t xml:space="preserve">biológicos de protección frente al SARS-CoV-2. Aunque la edad avanzada ha sido un factor de riesgo para desarrollar formas graves de COVID-19, el estudio resalta que no todos los adultos mayores presentan igual vulnerabilidad. En particular, algunos centenarios han mostrado una notable capacidad de recuperación tras la infección, lo que sugiere la existencia de factores protectores únicos en esta población. Los autores proponen que estos mecanismos </w:t>
      </w:r>
      <w:r w:rsidR="00FD0049" w:rsidRPr="00C316F8">
        <w:rPr>
          <w:rFonts w:cstheme="minorHAnsi"/>
          <w:color w:val="000000"/>
          <w:sz w:val="24"/>
          <w:szCs w:val="24"/>
          <w:shd w:val="clear" w:color="auto" w:fill="FFFFFF"/>
          <w:lang w:val="es-CO"/>
        </w:rPr>
        <w:t>pudiesen</w:t>
      </w:r>
      <w:r w:rsidRPr="00C316F8">
        <w:rPr>
          <w:rFonts w:cstheme="minorHAnsi"/>
          <w:color w:val="000000"/>
          <w:sz w:val="24"/>
          <w:szCs w:val="24"/>
          <w:shd w:val="clear" w:color="auto" w:fill="FFFFFF"/>
          <w:lang w:val="es-CO"/>
        </w:rPr>
        <w:t xml:space="preserve"> estar relacionados con una combinación de historia inmunológica, genética individual y resiliencia funcional acumulada a lo largo de la vida</w:t>
      </w:r>
      <w:r w:rsidR="00015D57" w:rsidRPr="00C316F8">
        <w:rPr>
          <w:rFonts w:cstheme="minorHAnsi"/>
          <w:color w:val="000000"/>
          <w:sz w:val="24"/>
          <w:szCs w:val="24"/>
          <w:shd w:val="clear" w:color="auto" w:fill="FFFFFF"/>
          <w:lang w:val="es-CO"/>
        </w:rPr>
        <w:t>.</w:t>
      </w:r>
      <w:r w:rsidR="00F442C3" w:rsidRPr="00C316F8">
        <w:rPr>
          <w:rFonts w:cstheme="minorHAnsi"/>
          <w:color w:val="000000"/>
          <w:sz w:val="24"/>
          <w:szCs w:val="24"/>
          <w:shd w:val="clear" w:color="auto" w:fill="FFFFFF"/>
          <w:lang w:val="es-CO"/>
        </w:rPr>
        <w:t xml:space="preserve"> </w:t>
      </w:r>
      <w:r w:rsidR="00F442C3" w:rsidRPr="00C316F8">
        <w:rPr>
          <w:rFonts w:cstheme="minorHAnsi"/>
          <w:color w:val="000000"/>
          <w:sz w:val="24"/>
          <w:szCs w:val="24"/>
          <w:shd w:val="clear" w:color="auto" w:fill="FFFFFF"/>
        </w:rPr>
        <w:fldChar w:fldCharType="begin"/>
      </w:r>
      <w:r w:rsidR="00A133A9" w:rsidRPr="00C316F8">
        <w:rPr>
          <w:rFonts w:cstheme="minorHAnsi"/>
          <w:color w:val="000000"/>
          <w:sz w:val="24"/>
          <w:szCs w:val="24"/>
          <w:shd w:val="clear" w:color="auto" w:fill="FFFFFF"/>
          <w:lang w:val="es-CO"/>
        </w:rPr>
        <w:instrText xml:space="preserve"> ADDIN ZOTERO_ITEM CSL_CITATION {"citationID":"Lby7huGI","properties":{"formattedCitation":"(75)","plainCitation":"(75)","noteIndex":0},"citationItems":[{"id":966,"uris":["http://zotero.org/users/5785509/items/LYMES8ES"],"itemData":{"id":966,"type":"article-journal","container-title":"Immunity &amp; Ageing","ISSN":"1742-4933","issue":"1","journalAbbreviation":"Immunity &amp; Ageing","page":"1-5","publisher":"BioMed Central","title":"Hypothetical COVID-19 protection mechanism: hints from centenarians","volume":"18","author":[{"family":"Guerini","given":"Franca Rosa"},{"family":"Cesari","given":"Matteo"},{"family":"Arosio","given":"Beatrice"}],"issued":{"date-parts":[["2021"]]}}}],"schema":"https://github.com/citation-style-language/schema/raw/master/csl-citation.json"} </w:instrText>
      </w:r>
      <w:r w:rsidR="00F442C3" w:rsidRPr="00C316F8">
        <w:rPr>
          <w:rFonts w:cstheme="minorHAnsi"/>
          <w:color w:val="000000"/>
          <w:sz w:val="24"/>
          <w:szCs w:val="24"/>
          <w:shd w:val="clear" w:color="auto" w:fill="FFFFFF"/>
        </w:rPr>
        <w:fldChar w:fldCharType="separate"/>
      </w:r>
      <w:r w:rsidR="00A133A9" w:rsidRPr="00C316F8">
        <w:rPr>
          <w:rFonts w:ascii="Calibri" w:hAnsi="Calibri" w:cs="Calibri"/>
          <w:sz w:val="24"/>
          <w:lang w:val="es-CO"/>
        </w:rPr>
        <w:t>(75)</w:t>
      </w:r>
      <w:r w:rsidR="00F442C3" w:rsidRPr="00C316F8">
        <w:rPr>
          <w:rFonts w:cstheme="minorHAnsi"/>
          <w:color w:val="000000"/>
          <w:sz w:val="24"/>
          <w:szCs w:val="24"/>
          <w:shd w:val="clear" w:color="auto" w:fill="FFFFFF"/>
        </w:rPr>
        <w:fldChar w:fldCharType="end"/>
      </w:r>
    </w:p>
    <w:p w14:paraId="4DDC03C9" w14:textId="166E0E51" w:rsidR="00FD0049" w:rsidRPr="00C316F8" w:rsidRDefault="00C3076F"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Uno de los principales focos del artículo es el papel del complejo mayor de histocompatibilidad (HLA), una región genética clave en la respuesta inmunitaria adaptativa. Se sugiere que ciertos alelos HLA podrían conferir una ventaja inmunológica en la respuesta al SARS-CoV-2, al facilitar una presentación antigénica más eficiente y activar células T citotóxicas capaces de contener la infección. Además, se destaca la expansión inusual de células CD4+ con funciones citotóxicas en supercentenarios, lo cual podría compensar la inmunosenescencia común en edades extremas. Los autores también señalan que la menor exposición social de los centenarios, sumada a hábitos de vida más estables, podría haber contribuido a su menor riesgo de contagio. Finalmente, sugieren que una mejor comprensión del repertorio genético e inmunológico de los centenarios puede ser clave para identificar biomarcadores de resistencia y guiar estrategias de medicina personalizada frente a futuras pandemias</w:t>
      </w:r>
      <w:r w:rsidR="00FD0049" w:rsidRPr="00C316F8">
        <w:rPr>
          <w:rFonts w:cstheme="minorHAnsi"/>
          <w:color w:val="000000"/>
          <w:sz w:val="24"/>
          <w:szCs w:val="24"/>
          <w:shd w:val="clear" w:color="auto" w:fill="FFFFFF"/>
          <w:lang w:val="es-CO"/>
        </w:rPr>
        <w:t>.</w:t>
      </w:r>
      <w:r w:rsidR="00F442C3" w:rsidRPr="00C316F8">
        <w:rPr>
          <w:rFonts w:cstheme="minorHAnsi"/>
          <w:color w:val="000000"/>
          <w:sz w:val="24"/>
          <w:szCs w:val="24"/>
          <w:shd w:val="clear" w:color="auto" w:fill="FFFFFF"/>
          <w:lang w:val="es-CO"/>
        </w:rPr>
        <w:t xml:space="preserve"> </w:t>
      </w:r>
      <w:r w:rsidR="00313F6C" w:rsidRPr="00C316F8">
        <w:rPr>
          <w:rFonts w:cstheme="minorHAnsi"/>
          <w:color w:val="000000"/>
          <w:sz w:val="24"/>
          <w:szCs w:val="24"/>
          <w:shd w:val="clear" w:color="auto" w:fill="FFFFFF"/>
        </w:rPr>
        <w:fldChar w:fldCharType="begin"/>
      </w:r>
      <w:r w:rsidR="00FE6AB3" w:rsidRPr="00C316F8">
        <w:rPr>
          <w:rFonts w:cstheme="minorHAnsi"/>
          <w:color w:val="000000"/>
          <w:sz w:val="24"/>
          <w:szCs w:val="24"/>
          <w:shd w:val="clear" w:color="auto" w:fill="FFFFFF"/>
          <w:lang w:val="es-CO"/>
        </w:rPr>
        <w:instrText xml:space="preserve"> ADDIN ZOTERO_ITEM CSL_CITATION {"citationID":"9ZEDrq7A","properties":{"formattedCitation":"(75)","plainCitation":"(75)","noteIndex":0},"citationItems":[{"id":966,"uris":["http://zotero.org/users/5785509/items/LYMES8ES"],"itemData":{"id":966,"type":"article-journal","container-title":"Immunity &amp; Ageing","ISSN":"1742-4933","issue":"1","journalAbbreviation":"Immunity &amp; Ageing","page":"1-5","publisher":"BioMed Central","title":"Hypothetical COVID-19 protection mechanism: hints from centenarians","volume":"18","author":[{"family":"Guerini","given":"Franca Rosa"},{"family":"Cesari","given":"Matteo"},{"family":"Arosio","given":"Beatrice"}],"issued":{"date-parts":[["2021"]]}}}],"schema":"https://github.com/citation-style-language/schema/raw/master/csl-citation.json"} </w:instrText>
      </w:r>
      <w:r w:rsidR="00313F6C" w:rsidRPr="00C316F8">
        <w:rPr>
          <w:rFonts w:cstheme="minorHAnsi"/>
          <w:color w:val="000000"/>
          <w:sz w:val="24"/>
          <w:szCs w:val="24"/>
          <w:shd w:val="clear" w:color="auto" w:fill="FFFFFF"/>
        </w:rPr>
        <w:fldChar w:fldCharType="separate"/>
      </w:r>
      <w:r w:rsidR="00FE6AB3" w:rsidRPr="00C316F8">
        <w:rPr>
          <w:rFonts w:ascii="Calibri" w:hAnsi="Calibri" w:cs="Calibri"/>
          <w:sz w:val="24"/>
          <w:lang w:val="es-CO"/>
        </w:rPr>
        <w:t>(75)</w:t>
      </w:r>
      <w:r w:rsidR="00313F6C" w:rsidRPr="00C316F8">
        <w:rPr>
          <w:rFonts w:cstheme="minorHAnsi"/>
          <w:color w:val="000000"/>
          <w:sz w:val="24"/>
          <w:szCs w:val="24"/>
          <w:shd w:val="clear" w:color="auto" w:fill="FFFFFF"/>
        </w:rPr>
        <w:fldChar w:fldCharType="end"/>
      </w:r>
    </w:p>
    <w:p w14:paraId="23589B20" w14:textId="3AD686EF" w:rsidR="00FB2B46" w:rsidRPr="00C316F8" w:rsidRDefault="00FB2B46"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La vulnerabilidad de la población centenaria frente al COVID-19 no puede comprenderse únicamente desde una perspectiva biológica. Las condiciones socioeconómicas —ingreso, educación y acceso a servicios de salud— determinan en gran medida las posibilidades de alcanzar la longevidad extrema y de sobrevivir a una emergencia sanitaria. En Colombia, la longevidad extrema coexiste frecuentemente con condiciones de alta vulnerabilidad socioeconómica, una paradoja que sugiere que los determinantes de la longevidad en el país tienen particularidades propias que la investigación epidemiológica debe abordar desde una perspectiva interseccional que integre dimensiones biológicas, sociales y territoriales</w:t>
      </w:r>
    </w:p>
    <w:p w14:paraId="15B54BD1" w14:textId="50DD1E30" w:rsidR="0065569E" w:rsidRPr="00C316F8" w:rsidRDefault="00C3076F" w:rsidP="003B711F">
      <w:pPr>
        <w:jc w:val="both"/>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t>En conjunto, los distintos estudios revisados permiten concluir que la longevidad extrema no solo implica haber alcanzado edades avanzadas, sino que representa una manifestación compleja de factores genéticos, inmunológicos, metabólicos y sociales que interactúan favorablemente. La notable resistencia a la COVID-19 observada en algunos centenarios y supercentenarios sugiere que esta población puede ofrecer claves únicas para comprender mecanismos de envejecimiento saludable y de respuesta adaptativa frente a enfermedades emergentes. Explorar más a fondo estas trayectorias inmunológicas y genéticas podría abrir nuevas oportunidades para el desarrollo de estrategias de prevención y tratamiento más eficaces, adaptadas a los distintos perfiles de envejecimiento humano.</w:t>
      </w:r>
    </w:p>
    <w:p w14:paraId="5654F532" w14:textId="03E028CC" w:rsidR="00790F31" w:rsidRPr="00C316F8" w:rsidRDefault="00790F31">
      <w:pPr>
        <w:rPr>
          <w:rFonts w:cstheme="minorHAnsi"/>
          <w:color w:val="000000"/>
          <w:sz w:val="24"/>
          <w:szCs w:val="24"/>
          <w:shd w:val="clear" w:color="auto" w:fill="FFFFFF"/>
          <w:lang w:val="es-CO"/>
        </w:rPr>
      </w:pPr>
      <w:r w:rsidRPr="00C316F8">
        <w:rPr>
          <w:rFonts w:cstheme="minorHAnsi"/>
          <w:color w:val="000000"/>
          <w:sz w:val="24"/>
          <w:szCs w:val="24"/>
          <w:shd w:val="clear" w:color="auto" w:fill="FFFFFF"/>
          <w:lang w:val="es-CO"/>
        </w:rPr>
        <w:br w:type="page"/>
      </w:r>
    </w:p>
    <w:p w14:paraId="2D52A8DC" w14:textId="6335A1CF" w:rsidR="00A66482" w:rsidRPr="00C316F8" w:rsidRDefault="00A66482" w:rsidP="00B96D9D">
      <w:pPr>
        <w:pStyle w:val="Ttulo1"/>
        <w:numPr>
          <w:ilvl w:val="0"/>
          <w:numId w:val="2"/>
        </w:numPr>
        <w:rPr>
          <w:lang w:val="es-CO"/>
        </w:rPr>
      </w:pPr>
      <w:bookmarkStart w:id="34" w:name="_Toc229834647"/>
      <w:r w:rsidRPr="00C316F8">
        <w:rPr>
          <w:lang w:val="es-CO"/>
        </w:rPr>
        <w:lastRenderedPageBreak/>
        <w:t>Problema de investigación y pregunta</w:t>
      </w:r>
      <w:r w:rsidR="0085610A" w:rsidRPr="00C316F8">
        <w:rPr>
          <w:lang w:val="es-CO"/>
        </w:rPr>
        <w:t xml:space="preserve"> de investigación</w:t>
      </w:r>
      <w:bookmarkEnd w:id="34"/>
    </w:p>
    <w:p w14:paraId="5282A0DB" w14:textId="384C8C59" w:rsidR="00BA6500" w:rsidRPr="00C316F8" w:rsidRDefault="009D2B0C" w:rsidP="009D2B0C">
      <w:pPr>
        <w:pStyle w:val="Ttulo1"/>
        <w:rPr>
          <w:lang w:val="es-CO"/>
        </w:rPr>
      </w:pPr>
      <w:bookmarkStart w:id="35" w:name="_Toc229834648"/>
      <w:r w:rsidRPr="00C316F8">
        <w:rPr>
          <w:lang w:val="es-CO"/>
        </w:rPr>
        <w:t>4.1</w:t>
      </w:r>
      <w:r w:rsidRPr="00C316F8">
        <w:rPr>
          <w:lang w:val="es-CO"/>
        </w:rPr>
        <w:tab/>
      </w:r>
      <w:r w:rsidR="00BA6500" w:rsidRPr="00C316F8">
        <w:rPr>
          <w:lang w:val="es-CO"/>
        </w:rPr>
        <w:t>Problema de investigación</w:t>
      </w:r>
      <w:bookmarkEnd w:id="35"/>
    </w:p>
    <w:p w14:paraId="470428AE" w14:textId="77777777" w:rsidR="009D2B0C" w:rsidRPr="00C316F8" w:rsidRDefault="009D2B0C" w:rsidP="009D2B0C">
      <w:pPr>
        <w:rPr>
          <w:lang w:val="es-CO"/>
        </w:rPr>
      </w:pPr>
    </w:p>
    <w:p w14:paraId="2F676601" w14:textId="326E134B" w:rsidR="00BA6500" w:rsidRPr="00C316F8" w:rsidRDefault="005E4D35" w:rsidP="003B711F">
      <w:pPr>
        <w:jc w:val="both"/>
        <w:rPr>
          <w:rFonts w:cstheme="minorHAnsi"/>
          <w:sz w:val="24"/>
          <w:szCs w:val="24"/>
          <w:lang w:val="es-CO"/>
        </w:rPr>
      </w:pPr>
      <w:r w:rsidRPr="00C316F8">
        <w:rPr>
          <w:rFonts w:cstheme="minorHAnsi"/>
          <w:sz w:val="24"/>
          <w:szCs w:val="24"/>
          <w:lang w:val="es-CO"/>
        </w:rPr>
        <w:t>A pesar de la abundante información epidemiológica generada durante la pandemia por COVID-19 en Colombia, persiste una limitada comprensión sobre cómo los determinantes sociales, territoriales y étnicos condicionaron diferencialmente la mortalidad en el país. Las cifras agregadas tienden a invisibilizar las profundas desigualdades estructurales que afectan a poblaciones históricamente marginadas, como comunidades afrocolombianas e indígenas, habitantes de territorios afectados por el conflicto armado, y personas en condiciones extremas de edad o pobreza. Si bien existen estudios parciales sobre algunas de estas dimensiones, no se cuenta con un análisis que permita identificar y explicar de manera articulada la interacción entre estos factores y su impacto sobre los desenlaces en salud. Esta falta de enfoque interseccional y territorial limita la formulación de políticas públicas sensibles al contexto y obstaculiza la capacidad de respuesta del sistema de salud frente a emergencias sanitarias futuras.</w:t>
      </w:r>
    </w:p>
    <w:p w14:paraId="24303297" w14:textId="4085C545" w:rsidR="00BA6500" w:rsidRPr="00C316F8" w:rsidRDefault="009D2B0C" w:rsidP="009D2B0C">
      <w:pPr>
        <w:pStyle w:val="Ttulo1"/>
        <w:rPr>
          <w:lang w:val="es-CO"/>
        </w:rPr>
      </w:pPr>
      <w:bookmarkStart w:id="36" w:name="_Toc229834649"/>
      <w:r w:rsidRPr="00C316F8">
        <w:rPr>
          <w:lang w:val="es-CO"/>
        </w:rPr>
        <w:t>4.2</w:t>
      </w:r>
      <w:r w:rsidRPr="00C316F8">
        <w:rPr>
          <w:lang w:val="es-CO"/>
        </w:rPr>
        <w:tab/>
      </w:r>
      <w:r w:rsidR="00BA6500" w:rsidRPr="00C316F8">
        <w:rPr>
          <w:lang w:val="es-CO"/>
        </w:rPr>
        <w:t>Pregunta de investigación</w:t>
      </w:r>
      <w:bookmarkEnd w:id="36"/>
    </w:p>
    <w:p w14:paraId="2182270A" w14:textId="77777777" w:rsidR="009D2B0C" w:rsidRPr="00C316F8" w:rsidRDefault="009D2B0C" w:rsidP="009D2B0C">
      <w:pPr>
        <w:rPr>
          <w:lang w:val="es-CO"/>
        </w:rPr>
      </w:pPr>
    </w:p>
    <w:p w14:paraId="11C732F7" w14:textId="37867C7D" w:rsidR="00853E23" w:rsidRPr="00C316F8" w:rsidRDefault="00305805" w:rsidP="003B711F">
      <w:pPr>
        <w:jc w:val="both"/>
        <w:rPr>
          <w:rFonts w:cstheme="minorHAnsi"/>
          <w:sz w:val="24"/>
          <w:szCs w:val="24"/>
          <w:lang w:val="es-CO"/>
        </w:rPr>
      </w:pPr>
      <w:r w:rsidRPr="00C316F8">
        <w:rPr>
          <w:rFonts w:cstheme="minorHAnsi"/>
          <w:sz w:val="24"/>
          <w:szCs w:val="24"/>
          <w:lang w:val="es-CO"/>
        </w:rPr>
        <w:t>¿Cómo se relacionan los factores socioeconómicos, territoriales, étnicos y demográficos —incluida la longevidad extrema— con la mortalidad por COVID-19 en Colombia, y de qué manera estas desigualdades estructurales se expresan en los distintos territorios de</w:t>
      </w:r>
      <w:r w:rsidR="00BD2A9D" w:rsidRPr="00C316F8">
        <w:rPr>
          <w:rFonts w:cstheme="minorHAnsi"/>
          <w:sz w:val="24"/>
          <w:szCs w:val="24"/>
          <w:lang w:val="es-CO"/>
        </w:rPr>
        <w:t xml:space="preserve"> Colombia</w:t>
      </w:r>
      <w:r w:rsidRPr="00C316F8">
        <w:rPr>
          <w:rFonts w:cstheme="minorHAnsi"/>
          <w:sz w:val="24"/>
          <w:szCs w:val="24"/>
          <w:lang w:val="es-CO"/>
        </w:rPr>
        <w:t>?</w:t>
      </w:r>
    </w:p>
    <w:p w14:paraId="0EBAFBC9" w14:textId="77777777" w:rsidR="00305805" w:rsidRPr="00C316F8" w:rsidRDefault="00305805" w:rsidP="003B711F">
      <w:pPr>
        <w:jc w:val="both"/>
        <w:rPr>
          <w:rFonts w:cstheme="minorHAnsi"/>
          <w:sz w:val="24"/>
          <w:szCs w:val="24"/>
          <w:lang w:val="es-CO"/>
        </w:rPr>
      </w:pPr>
    </w:p>
    <w:p w14:paraId="5724BAD0" w14:textId="010CBDB9" w:rsidR="00A66482" w:rsidRPr="00C316F8" w:rsidRDefault="00A66482" w:rsidP="00B96D9D">
      <w:pPr>
        <w:pStyle w:val="Ttulo1"/>
        <w:numPr>
          <w:ilvl w:val="0"/>
          <w:numId w:val="2"/>
        </w:numPr>
        <w:rPr>
          <w:lang w:val="es-CO"/>
        </w:rPr>
      </w:pPr>
      <w:bookmarkStart w:id="37" w:name="_Toc229834650"/>
      <w:r w:rsidRPr="00C316F8">
        <w:rPr>
          <w:lang w:val="es-CO"/>
        </w:rPr>
        <w:t>Objetivo general y específicos</w:t>
      </w:r>
      <w:bookmarkEnd w:id="37"/>
    </w:p>
    <w:p w14:paraId="095ED72E" w14:textId="6DE19B84" w:rsidR="0081399F" w:rsidRPr="00C316F8" w:rsidRDefault="009D2B0C" w:rsidP="009D2B0C">
      <w:pPr>
        <w:pStyle w:val="Ttulo1"/>
        <w:rPr>
          <w:lang w:val="es-ES"/>
        </w:rPr>
      </w:pPr>
      <w:bookmarkStart w:id="38" w:name="_Toc229834651"/>
      <w:r w:rsidRPr="00C316F8">
        <w:rPr>
          <w:lang w:val="es-ES"/>
        </w:rPr>
        <w:t>5.1</w:t>
      </w:r>
      <w:r w:rsidRPr="00C316F8">
        <w:rPr>
          <w:lang w:val="es-ES"/>
        </w:rPr>
        <w:tab/>
      </w:r>
      <w:r w:rsidR="0081399F" w:rsidRPr="00C316F8">
        <w:rPr>
          <w:lang w:val="es-ES"/>
        </w:rPr>
        <w:t>Objetivo general</w:t>
      </w:r>
      <w:bookmarkEnd w:id="38"/>
    </w:p>
    <w:p w14:paraId="2231B632" w14:textId="77777777" w:rsidR="009D2B0C" w:rsidRPr="00C316F8" w:rsidRDefault="009D2B0C" w:rsidP="009D2B0C">
      <w:pPr>
        <w:rPr>
          <w:lang w:val="es-ES"/>
        </w:rPr>
      </w:pPr>
    </w:p>
    <w:p w14:paraId="093A4612" w14:textId="77777777" w:rsidR="00812E47" w:rsidRPr="00C316F8" w:rsidRDefault="00917A86" w:rsidP="003B711F">
      <w:pPr>
        <w:jc w:val="both"/>
        <w:rPr>
          <w:rFonts w:cstheme="minorHAnsi"/>
          <w:sz w:val="24"/>
          <w:szCs w:val="24"/>
          <w:lang w:val="es-ES"/>
        </w:rPr>
      </w:pPr>
      <w:r w:rsidRPr="00C316F8">
        <w:rPr>
          <w:rFonts w:cstheme="minorHAnsi"/>
          <w:sz w:val="24"/>
          <w:szCs w:val="24"/>
          <w:lang w:val="es-ES"/>
        </w:rPr>
        <w:t>Analizar cómo los factores socioeconómicos, territoriales, étnicos y demográficos —incluida la longevidad extrema— se relacionan con la mortalidad por COVID-19 en Colombia, considerando las desigualdades estructurales que afectan de manera diferencial a los territorios y poblaciones vulnerables.</w:t>
      </w:r>
    </w:p>
    <w:p w14:paraId="3FD80D09" w14:textId="2C782A1D" w:rsidR="0081399F" w:rsidRPr="00C316F8" w:rsidRDefault="009D2B0C" w:rsidP="009D2B0C">
      <w:pPr>
        <w:pStyle w:val="Ttulo1"/>
        <w:rPr>
          <w:lang w:val="es-ES"/>
        </w:rPr>
      </w:pPr>
      <w:bookmarkStart w:id="39" w:name="_Toc229834652"/>
      <w:r w:rsidRPr="00C316F8">
        <w:rPr>
          <w:lang w:val="es-ES"/>
        </w:rPr>
        <w:t>5.2</w:t>
      </w:r>
      <w:r w:rsidRPr="00C316F8">
        <w:rPr>
          <w:lang w:val="es-ES"/>
        </w:rPr>
        <w:tab/>
      </w:r>
      <w:r w:rsidR="0081399F" w:rsidRPr="00C316F8">
        <w:rPr>
          <w:lang w:val="es-ES"/>
        </w:rPr>
        <w:t xml:space="preserve">Objetivos </w:t>
      </w:r>
      <w:r w:rsidR="004B20FA" w:rsidRPr="00C316F8">
        <w:rPr>
          <w:lang w:val="es-ES"/>
        </w:rPr>
        <w:t>específicos</w:t>
      </w:r>
      <w:bookmarkEnd w:id="39"/>
    </w:p>
    <w:p w14:paraId="36259979" w14:textId="77777777" w:rsidR="008103D5" w:rsidRPr="00C316F8" w:rsidRDefault="008103D5" w:rsidP="008103D5">
      <w:pPr>
        <w:rPr>
          <w:lang w:val="es-ES"/>
        </w:rPr>
      </w:pPr>
    </w:p>
    <w:p w14:paraId="3328815D" w14:textId="70DBA11E" w:rsidR="00181ED4" w:rsidRPr="00C316F8" w:rsidRDefault="00181ED4" w:rsidP="00B96D9D">
      <w:pPr>
        <w:pStyle w:val="Prrafodelista"/>
        <w:numPr>
          <w:ilvl w:val="0"/>
          <w:numId w:val="5"/>
        </w:numPr>
        <w:jc w:val="both"/>
        <w:rPr>
          <w:rFonts w:cstheme="minorHAnsi"/>
          <w:sz w:val="24"/>
          <w:szCs w:val="24"/>
          <w:lang w:val="es-ES"/>
        </w:rPr>
      </w:pPr>
      <w:r w:rsidRPr="00C316F8">
        <w:rPr>
          <w:rFonts w:cstheme="minorHAnsi"/>
          <w:sz w:val="24"/>
          <w:szCs w:val="24"/>
          <w:lang w:val="es-ES"/>
        </w:rPr>
        <w:t>Evaluar la asociación entre la pobreza multidimensional, la pertenencia étnica y la exposición al conflicto armado con la mortalidad por COVID-19 en los municipios colombianos.</w:t>
      </w:r>
    </w:p>
    <w:p w14:paraId="08E816DB" w14:textId="372283D8" w:rsidR="004B20FA" w:rsidRPr="00C316F8" w:rsidRDefault="004B20FA" w:rsidP="00B96D9D">
      <w:pPr>
        <w:pStyle w:val="Prrafodelista"/>
        <w:numPr>
          <w:ilvl w:val="0"/>
          <w:numId w:val="5"/>
        </w:numPr>
        <w:jc w:val="both"/>
        <w:rPr>
          <w:rFonts w:cstheme="minorHAnsi"/>
          <w:sz w:val="24"/>
          <w:szCs w:val="24"/>
          <w:lang w:val="es-ES"/>
        </w:rPr>
      </w:pPr>
      <w:r w:rsidRPr="00C316F8">
        <w:rPr>
          <w:rFonts w:cstheme="minorHAnsi"/>
          <w:sz w:val="24"/>
          <w:szCs w:val="24"/>
          <w:lang w:val="es-ES"/>
        </w:rPr>
        <w:lastRenderedPageBreak/>
        <w:t>Explorar las desigualdades espaciales en la mortalidad por COVID-19 y su relación con el CMPI mediante herramientas de análisis geoespacial.</w:t>
      </w:r>
    </w:p>
    <w:p w14:paraId="1787A053" w14:textId="77777777" w:rsidR="00853E23" w:rsidRPr="00C316F8" w:rsidRDefault="004B20FA" w:rsidP="00B96D9D">
      <w:pPr>
        <w:pStyle w:val="Prrafodelista"/>
        <w:numPr>
          <w:ilvl w:val="0"/>
          <w:numId w:val="5"/>
        </w:numPr>
        <w:jc w:val="both"/>
        <w:rPr>
          <w:rFonts w:cstheme="minorHAnsi"/>
          <w:sz w:val="24"/>
          <w:szCs w:val="24"/>
          <w:lang w:val="es-ES"/>
        </w:rPr>
      </w:pPr>
      <w:r w:rsidRPr="00C316F8">
        <w:rPr>
          <w:rFonts w:cstheme="minorHAnsi"/>
          <w:sz w:val="24"/>
          <w:szCs w:val="24"/>
          <w:lang w:val="es-ES"/>
        </w:rPr>
        <w:t>Caracterizar el impacto del COVID-19 sobre la población centenaria en Colombia, analizando su distribución territorial, condiciones demográficas y diferencias en los desenlaces de salud frente a la pandemia.</w:t>
      </w:r>
    </w:p>
    <w:p w14:paraId="2B964C52" w14:textId="5F171933" w:rsidR="003D695D" w:rsidRPr="00C316F8" w:rsidRDefault="003D695D">
      <w:pPr>
        <w:rPr>
          <w:rFonts w:cstheme="minorHAnsi"/>
          <w:sz w:val="24"/>
          <w:szCs w:val="24"/>
          <w:lang w:val="es-ES"/>
        </w:rPr>
      </w:pPr>
      <w:r w:rsidRPr="00C316F8">
        <w:rPr>
          <w:rFonts w:cstheme="minorHAnsi"/>
          <w:sz w:val="24"/>
          <w:szCs w:val="24"/>
          <w:lang w:val="es-ES"/>
        </w:rPr>
        <w:br w:type="page"/>
      </w:r>
    </w:p>
    <w:p w14:paraId="142E93E5" w14:textId="77777777" w:rsidR="00853E23" w:rsidRPr="00C316F8" w:rsidRDefault="00853E23" w:rsidP="003B711F">
      <w:pPr>
        <w:jc w:val="both"/>
        <w:rPr>
          <w:rFonts w:cstheme="minorHAnsi"/>
          <w:sz w:val="24"/>
          <w:szCs w:val="24"/>
          <w:lang w:val="es-ES"/>
        </w:rPr>
      </w:pPr>
    </w:p>
    <w:p w14:paraId="0617C665" w14:textId="3FDB38BF" w:rsidR="00A610FC" w:rsidRPr="00C316F8" w:rsidRDefault="00A610FC" w:rsidP="00A610FC">
      <w:pPr>
        <w:pStyle w:val="Ttulo1"/>
        <w:rPr>
          <w:lang w:val="es-CO"/>
        </w:rPr>
      </w:pPr>
      <w:bookmarkStart w:id="40" w:name="_Toc229834653"/>
      <w:r w:rsidRPr="00C316F8">
        <w:rPr>
          <w:lang w:val="es-CO"/>
        </w:rPr>
        <w:t>PARTE II. DESARROLLO DE LA INVESTIGACIÓN</w:t>
      </w:r>
      <w:bookmarkEnd w:id="40"/>
    </w:p>
    <w:p w14:paraId="1DE01CBE" w14:textId="77777777" w:rsidR="00C20A08" w:rsidRPr="00C316F8" w:rsidRDefault="00C20A08" w:rsidP="00C20A08">
      <w:pPr>
        <w:rPr>
          <w:lang w:val="es-CO"/>
        </w:rPr>
      </w:pPr>
    </w:p>
    <w:p w14:paraId="6ACBACE4" w14:textId="77777777" w:rsidR="00D073B2" w:rsidRPr="00C316F8" w:rsidRDefault="00D073B2" w:rsidP="00D073B2">
      <w:pPr>
        <w:jc w:val="both"/>
        <w:rPr>
          <w:rFonts w:cstheme="minorHAnsi"/>
          <w:sz w:val="24"/>
          <w:szCs w:val="24"/>
          <w:lang w:val="es-CO"/>
        </w:rPr>
      </w:pPr>
      <w:r w:rsidRPr="00C316F8">
        <w:rPr>
          <w:rFonts w:cstheme="minorHAnsi"/>
          <w:sz w:val="24"/>
          <w:szCs w:val="24"/>
          <w:lang w:val="es-CO"/>
        </w:rPr>
        <w:t>Este apartado se fundamenta en los hallazgos de tres estudios desarrollados durante la investigación, los cuales abordan distintas dimensiones del impacto de la pandemia por COVID-19 en Colombia. El primer estudio identifica las desigualdades espaciales en la mortalidad y su relación con el Índice de Pobreza Multidimensional Colombiano (CMPI) a nivel municipal, explorando patrones territoriales mediante análisis espacial. El segundo estudio analiza la mortalidad por COVID-19 asociada con pobreza multidimensional, etnicidad y conflicto armado, destacando los determinantes estructurales que amplifican la vulnerabilidad poblacional. Finalmente, el tercer estudio se centra en la población centenaria, describiendo su longevidad y la mortalidad frente a la pandemia, así como las particularidades sociodemográficas de este grupo altamente vulnerable.</w:t>
      </w:r>
    </w:p>
    <w:p w14:paraId="03E3B8D6" w14:textId="2DC94C8E" w:rsidR="00D073B2" w:rsidRPr="00C316F8" w:rsidRDefault="00D073B2" w:rsidP="00D073B2">
      <w:pPr>
        <w:jc w:val="both"/>
        <w:rPr>
          <w:rFonts w:cstheme="minorHAnsi"/>
          <w:sz w:val="24"/>
          <w:szCs w:val="24"/>
          <w:lang w:val="es-CO"/>
        </w:rPr>
      </w:pPr>
      <w:r w:rsidRPr="00C316F8">
        <w:rPr>
          <w:rFonts w:cstheme="minorHAnsi"/>
          <w:sz w:val="24"/>
          <w:szCs w:val="24"/>
          <w:lang w:val="es-CO"/>
        </w:rPr>
        <w:t>Los numerales que componen esta Parte II corresponden a estos tres artículos científicos, publicados en revistas ind</w:t>
      </w:r>
      <w:r w:rsidR="00683DD9" w:rsidRPr="00C316F8">
        <w:rPr>
          <w:rFonts w:cstheme="minorHAnsi"/>
          <w:sz w:val="24"/>
          <w:szCs w:val="24"/>
          <w:lang w:val="es-CO"/>
        </w:rPr>
        <w:t>ex</w:t>
      </w:r>
      <w:r w:rsidRPr="00C316F8">
        <w:rPr>
          <w:rFonts w:cstheme="minorHAnsi"/>
          <w:sz w:val="24"/>
          <w:szCs w:val="24"/>
          <w:lang w:val="es-CO"/>
        </w:rPr>
        <w:t>adas en Scopus, los cuales constituyen el eje empírico y analítico de la presente tesis doctoral. Cada publicación aborda dimensiones complementarias —territoriales, socioeconómicas, demográficas y estructurales— que, en conjunto, ofrecen una visión integral de las desigualdades en salud durante la pandemia. A continuación, se describen las publicaciones que sustentan este apartado:</w:t>
      </w:r>
    </w:p>
    <w:p w14:paraId="5236A708" w14:textId="77777777" w:rsidR="00D073B2" w:rsidRPr="00C316F8" w:rsidRDefault="00D073B2" w:rsidP="00D073B2">
      <w:pPr>
        <w:jc w:val="both"/>
        <w:rPr>
          <w:rFonts w:cstheme="minorHAnsi"/>
          <w:sz w:val="24"/>
          <w:szCs w:val="24"/>
          <w:lang w:val="es-CO"/>
        </w:rPr>
      </w:pPr>
    </w:p>
    <w:p w14:paraId="15B2CE14" w14:textId="77777777" w:rsidR="00D073B2" w:rsidRPr="00C316F8" w:rsidRDefault="00D073B2" w:rsidP="00CE79FF">
      <w:pPr>
        <w:pStyle w:val="Prrafodelista"/>
        <w:numPr>
          <w:ilvl w:val="0"/>
          <w:numId w:val="26"/>
        </w:numPr>
        <w:jc w:val="both"/>
        <w:rPr>
          <w:rFonts w:cstheme="minorHAnsi"/>
          <w:b/>
          <w:bCs/>
          <w:sz w:val="24"/>
          <w:szCs w:val="24"/>
        </w:rPr>
      </w:pPr>
      <w:r w:rsidRPr="00C316F8">
        <w:rPr>
          <w:rFonts w:cstheme="minorHAnsi"/>
          <w:b/>
          <w:bCs/>
          <w:sz w:val="24"/>
          <w:szCs w:val="24"/>
        </w:rPr>
        <w:t>Artículo 1. Exploring Spatial Inequalities in COVID-19 Mortality and Their Association With Multidimensional Poverty in Colombia: A Spatial Analysis Study.</w:t>
      </w:r>
    </w:p>
    <w:p w14:paraId="07988586" w14:textId="77777777" w:rsidR="00D073B2" w:rsidRPr="00C316F8" w:rsidRDefault="00D073B2" w:rsidP="00DE0AF8">
      <w:pPr>
        <w:ind w:left="720"/>
        <w:jc w:val="both"/>
        <w:rPr>
          <w:rFonts w:cstheme="minorHAnsi"/>
          <w:sz w:val="24"/>
          <w:szCs w:val="24"/>
        </w:rPr>
      </w:pPr>
      <w:r w:rsidRPr="00C316F8">
        <w:rPr>
          <w:rFonts w:cstheme="minorHAnsi"/>
          <w:sz w:val="24"/>
          <w:szCs w:val="24"/>
        </w:rPr>
        <w:t>Referencia: Birchenall-Jiménez C, Jiménez-Barbosa WG, Riascos-Ochoa J, Cosenz F. Exploring spatial inequalities in COVID-19 mortality and their association with multidimensional poverty in Colombia: a spatial analysis study. Int J Public Health. 2025 Jan;69:1607820.</w:t>
      </w:r>
    </w:p>
    <w:p w14:paraId="01471843" w14:textId="77777777" w:rsidR="00D073B2" w:rsidRPr="00C316F8" w:rsidRDefault="00D073B2" w:rsidP="00DE0AF8">
      <w:pPr>
        <w:ind w:firstLine="720"/>
        <w:jc w:val="both"/>
        <w:rPr>
          <w:rFonts w:cstheme="minorHAnsi"/>
          <w:sz w:val="24"/>
          <w:szCs w:val="24"/>
        </w:rPr>
      </w:pPr>
      <w:r w:rsidRPr="00C316F8">
        <w:rPr>
          <w:rFonts w:cstheme="minorHAnsi"/>
          <w:sz w:val="24"/>
          <w:szCs w:val="24"/>
        </w:rPr>
        <w:t>Revista: International Journal of Public Health.</w:t>
      </w:r>
    </w:p>
    <w:p w14:paraId="1F7A66C2" w14:textId="77777777" w:rsidR="00D073B2" w:rsidRPr="00C316F8" w:rsidRDefault="00D073B2" w:rsidP="00DE0AF8">
      <w:pPr>
        <w:ind w:firstLine="720"/>
        <w:jc w:val="both"/>
        <w:rPr>
          <w:rFonts w:cstheme="minorHAnsi"/>
          <w:sz w:val="24"/>
          <w:szCs w:val="24"/>
        </w:rPr>
      </w:pPr>
      <w:r w:rsidRPr="00C316F8">
        <w:rPr>
          <w:rFonts w:cstheme="minorHAnsi"/>
          <w:sz w:val="24"/>
          <w:szCs w:val="24"/>
        </w:rPr>
        <w:t>Nivel Scopus: Q1 (Public Health, Environmental and Occupational Health).</w:t>
      </w:r>
    </w:p>
    <w:p w14:paraId="35C4DE98" w14:textId="77777777" w:rsidR="00D073B2" w:rsidRPr="00C316F8" w:rsidRDefault="00D073B2" w:rsidP="00D073B2">
      <w:pPr>
        <w:jc w:val="both"/>
        <w:rPr>
          <w:rFonts w:cstheme="minorHAnsi"/>
          <w:sz w:val="24"/>
          <w:szCs w:val="24"/>
        </w:rPr>
      </w:pPr>
    </w:p>
    <w:p w14:paraId="5C9C4273" w14:textId="77777777" w:rsidR="00D073B2" w:rsidRPr="00C316F8" w:rsidRDefault="00D073B2" w:rsidP="00DE0AF8">
      <w:pPr>
        <w:pStyle w:val="Prrafodelista"/>
        <w:numPr>
          <w:ilvl w:val="0"/>
          <w:numId w:val="26"/>
        </w:numPr>
        <w:jc w:val="both"/>
        <w:rPr>
          <w:rFonts w:cstheme="minorHAnsi"/>
          <w:b/>
          <w:bCs/>
          <w:sz w:val="24"/>
          <w:szCs w:val="24"/>
        </w:rPr>
      </w:pPr>
      <w:r w:rsidRPr="00C316F8">
        <w:rPr>
          <w:rFonts w:cstheme="minorHAnsi"/>
          <w:b/>
          <w:bCs/>
          <w:sz w:val="24"/>
          <w:szCs w:val="24"/>
        </w:rPr>
        <w:t>Artículo 2. COVID-19 mortality associated with multidimensional poverty, ethnicities, and armed conflict in Colombia: retrospective observational study based on national records.</w:t>
      </w:r>
    </w:p>
    <w:p w14:paraId="2275B7C9" w14:textId="77777777" w:rsidR="002A0098" w:rsidRPr="00C316F8" w:rsidRDefault="002A0098" w:rsidP="002A0098">
      <w:pPr>
        <w:pStyle w:val="Prrafodelista"/>
        <w:jc w:val="both"/>
        <w:rPr>
          <w:rFonts w:cstheme="minorHAnsi"/>
          <w:b/>
          <w:bCs/>
          <w:sz w:val="24"/>
          <w:szCs w:val="24"/>
        </w:rPr>
      </w:pPr>
    </w:p>
    <w:p w14:paraId="71AE1409" w14:textId="77777777" w:rsidR="00D073B2" w:rsidRPr="00C316F8" w:rsidRDefault="00D073B2" w:rsidP="002D7EED">
      <w:pPr>
        <w:ind w:left="720"/>
        <w:jc w:val="both"/>
        <w:rPr>
          <w:rFonts w:cstheme="minorHAnsi"/>
          <w:sz w:val="24"/>
          <w:szCs w:val="24"/>
        </w:rPr>
      </w:pPr>
      <w:r w:rsidRPr="00C316F8">
        <w:rPr>
          <w:rFonts w:cstheme="minorHAnsi"/>
          <w:sz w:val="24"/>
          <w:szCs w:val="24"/>
        </w:rPr>
        <w:t xml:space="preserve">Referencia: Birchenall-Jiménez CI, Jiménez-Barbosa WG, Riascos-Ochoa J, Cosenz F. COVID-19 mortality associated with multidimensional poverty, ethnicities, and </w:t>
      </w:r>
      <w:r w:rsidRPr="00C316F8">
        <w:rPr>
          <w:rFonts w:cstheme="minorHAnsi"/>
          <w:sz w:val="24"/>
          <w:szCs w:val="24"/>
        </w:rPr>
        <w:lastRenderedPageBreak/>
        <w:t>armed conflict in Colombia: retrospective observational study based on national records. Front Public Health. 2025 May 22;13:1514076.</w:t>
      </w:r>
    </w:p>
    <w:p w14:paraId="3E438A71" w14:textId="77777777" w:rsidR="00D073B2" w:rsidRPr="00C316F8" w:rsidRDefault="00D073B2" w:rsidP="002D7EED">
      <w:pPr>
        <w:ind w:left="720"/>
        <w:jc w:val="both"/>
        <w:rPr>
          <w:rFonts w:cstheme="minorHAnsi"/>
          <w:sz w:val="24"/>
          <w:szCs w:val="24"/>
        </w:rPr>
      </w:pPr>
      <w:r w:rsidRPr="00C316F8">
        <w:rPr>
          <w:rFonts w:cstheme="minorHAnsi"/>
          <w:sz w:val="24"/>
          <w:szCs w:val="24"/>
        </w:rPr>
        <w:t>Revista: Frontiers in Public Health.</w:t>
      </w:r>
    </w:p>
    <w:p w14:paraId="4022DD8E" w14:textId="77777777" w:rsidR="00D073B2" w:rsidRPr="00C316F8" w:rsidRDefault="00D073B2" w:rsidP="002D7EED">
      <w:pPr>
        <w:ind w:left="720"/>
        <w:jc w:val="both"/>
        <w:rPr>
          <w:rFonts w:cstheme="minorHAnsi"/>
          <w:sz w:val="24"/>
          <w:szCs w:val="24"/>
        </w:rPr>
      </w:pPr>
      <w:r w:rsidRPr="00C316F8">
        <w:rPr>
          <w:rFonts w:cstheme="minorHAnsi"/>
          <w:sz w:val="24"/>
          <w:szCs w:val="24"/>
        </w:rPr>
        <w:t>Nivel Scopus: Q1 (Public Health, Environmental and Occupational Health).</w:t>
      </w:r>
    </w:p>
    <w:p w14:paraId="149A5586" w14:textId="77777777" w:rsidR="00D073B2" w:rsidRPr="00C316F8" w:rsidRDefault="00D073B2" w:rsidP="002D7EED">
      <w:pPr>
        <w:ind w:left="720"/>
        <w:jc w:val="both"/>
        <w:rPr>
          <w:rFonts w:cstheme="minorHAnsi"/>
          <w:sz w:val="24"/>
          <w:szCs w:val="24"/>
        </w:rPr>
      </w:pPr>
    </w:p>
    <w:p w14:paraId="7FCFAD59" w14:textId="77777777" w:rsidR="00D073B2" w:rsidRPr="00C316F8" w:rsidRDefault="00D073B2" w:rsidP="00DE0AF8">
      <w:pPr>
        <w:pStyle w:val="Prrafodelista"/>
        <w:numPr>
          <w:ilvl w:val="0"/>
          <w:numId w:val="26"/>
        </w:numPr>
        <w:jc w:val="both"/>
        <w:rPr>
          <w:rFonts w:cstheme="minorHAnsi"/>
          <w:b/>
          <w:bCs/>
          <w:sz w:val="24"/>
          <w:szCs w:val="24"/>
        </w:rPr>
      </w:pPr>
      <w:r w:rsidRPr="00C316F8">
        <w:rPr>
          <w:rFonts w:cstheme="minorHAnsi"/>
          <w:b/>
          <w:bCs/>
          <w:sz w:val="24"/>
          <w:szCs w:val="24"/>
        </w:rPr>
        <w:t>Artículo 3. Centenarians in Colombia: a population-based cohort study on the impact of COVID-19.</w:t>
      </w:r>
    </w:p>
    <w:p w14:paraId="52AD2835" w14:textId="77777777" w:rsidR="002A0098" w:rsidRPr="00C316F8" w:rsidRDefault="00D073B2" w:rsidP="002D7EED">
      <w:pPr>
        <w:ind w:left="720"/>
        <w:jc w:val="both"/>
        <w:rPr>
          <w:rFonts w:cstheme="minorHAnsi"/>
          <w:sz w:val="24"/>
          <w:szCs w:val="24"/>
          <w:lang w:val="es-CO"/>
        </w:rPr>
      </w:pPr>
      <w:r w:rsidRPr="00C316F8">
        <w:rPr>
          <w:rFonts w:cstheme="minorHAnsi"/>
          <w:sz w:val="24"/>
          <w:szCs w:val="24"/>
        </w:rPr>
        <w:t xml:space="preserve">Referencia: Birchenall-Jiménez C, Amorocho-Barrera JE, Rodríguez-Ortega LM, Sánchez-Bolaños E, Jiménez-Barbosa WG, Riascos-Ochoa J. Centenarians in Colombia: a population-based cohort study on the impact of COVID-19. </w:t>
      </w:r>
      <w:r w:rsidRPr="00C316F8">
        <w:rPr>
          <w:rFonts w:cstheme="minorHAnsi"/>
          <w:sz w:val="24"/>
          <w:szCs w:val="24"/>
          <w:lang w:val="es-CO"/>
        </w:rPr>
        <w:t>Infectio. 2024;28(4):228–234.</w:t>
      </w:r>
    </w:p>
    <w:p w14:paraId="1C020F4F" w14:textId="7EC124C9" w:rsidR="00D073B2" w:rsidRPr="00C316F8" w:rsidRDefault="00D073B2" w:rsidP="002D7EED">
      <w:pPr>
        <w:ind w:left="720"/>
        <w:jc w:val="both"/>
        <w:rPr>
          <w:rFonts w:cstheme="minorHAnsi"/>
          <w:sz w:val="24"/>
          <w:szCs w:val="24"/>
          <w:lang w:val="es-CO"/>
        </w:rPr>
      </w:pPr>
      <w:r w:rsidRPr="00C316F8">
        <w:rPr>
          <w:rFonts w:cstheme="minorHAnsi"/>
          <w:sz w:val="24"/>
          <w:szCs w:val="24"/>
          <w:lang w:val="es-CO"/>
        </w:rPr>
        <w:t>Revista: Infectio.</w:t>
      </w:r>
    </w:p>
    <w:p w14:paraId="1612147B" w14:textId="77777777" w:rsidR="00D073B2" w:rsidRPr="00C316F8" w:rsidRDefault="00D073B2" w:rsidP="002D7EED">
      <w:pPr>
        <w:ind w:left="720"/>
        <w:jc w:val="both"/>
        <w:rPr>
          <w:rFonts w:cstheme="minorHAnsi"/>
          <w:sz w:val="24"/>
          <w:szCs w:val="24"/>
          <w:lang w:val="es-CO"/>
        </w:rPr>
      </w:pPr>
      <w:r w:rsidRPr="00C316F8">
        <w:rPr>
          <w:rFonts w:cstheme="minorHAnsi"/>
          <w:sz w:val="24"/>
          <w:szCs w:val="24"/>
          <w:lang w:val="es-CO"/>
        </w:rPr>
        <w:t>Nivel Scopus: Q4 (Infectious Diseases).</w:t>
      </w:r>
    </w:p>
    <w:p w14:paraId="221F6A99" w14:textId="649AA5C3" w:rsidR="00CE79FF" w:rsidRPr="00C316F8" w:rsidRDefault="00D073B2" w:rsidP="00D073B2">
      <w:pPr>
        <w:jc w:val="both"/>
        <w:rPr>
          <w:rFonts w:cstheme="minorHAnsi"/>
          <w:sz w:val="24"/>
          <w:szCs w:val="24"/>
          <w:lang w:val="es-CO"/>
        </w:rPr>
      </w:pPr>
      <w:r w:rsidRPr="00C316F8">
        <w:rPr>
          <w:rFonts w:cstheme="minorHAnsi"/>
          <w:sz w:val="24"/>
          <w:szCs w:val="24"/>
          <w:lang w:val="es-CO"/>
        </w:rPr>
        <w:t>Los niveles Scopus fueron verificados en la base de datos SCImago Journal &amp; Country Rank (SJR, actualización 2024).</w:t>
      </w:r>
    </w:p>
    <w:p w14:paraId="1BD6130B" w14:textId="77777777" w:rsidR="00CE79FF" w:rsidRPr="00C316F8" w:rsidRDefault="00CE79FF">
      <w:pPr>
        <w:rPr>
          <w:rFonts w:cstheme="minorHAnsi"/>
          <w:sz w:val="24"/>
          <w:szCs w:val="24"/>
          <w:lang w:val="es-CO"/>
        </w:rPr>
      </w:pPr>
      <w:r w:rsidRPr="00C316F8">
        <w:rPr>
          <w:rFonts w:cstheme="minorHAnsi"/>
          <w:sz w:val="24"/>
          <w:szCs w:val="24"/>
          <w:lang w:val="es-CO"/>
        </w:rPr>
        <w:br w:type="page"/>
      </w:r>
    </w:p>
    <w:p w14:paraId="14158832" w14:textId="77777777" w:rsidR="009305C5" w:rsidRPr="00C316F8" w:rsidRDefault="009305C5" w:rsidP="003B711F">
      <w:pPr>
        <w:jc w:val="both"/>
        <w:rPr>
          <w:rFonts w:cstheme="minorHAnsi"/>
          <w:vanish/>
          <w:sz w:val="24"/>
          <w:szCs w:val="24"/>
        </w:rPr>
      </w:pPr>
    </w:p>
    <w:p w14:paraId="11D9CCAA" w14:textId="39EF782D" w:rsidR="009305C5" w:rsidRPr="00C316F8" w:rsidRDefault="006853D8" w:rsidP="00B96D9D">
      <w:pPr>
        <w:pStyle w:val="Ttulo1"/>
        <w:numPr>
          <w:ilvl w:val="0"/>
          <w:numId w:val="2"/>
        </w:numPr>
        <w:rPr>
          <w:rFonts w:cstheme="minorHAnsi"/>
          <w:vanish/>
          <w:szCs w:val="24"/>
          <w:lang w:val="es-CO"/>
        </w:rPr>
      </w:pPr>
      <w:bookmarkStart w:id="41" w:name="_Toc229834654"/>
      <w:r w:rsidRPr="00C316F8">
        <w:rPr>
          <w:lang w:val="es-CO"/>
        </w:rPr>
        <w:t>EXPLORACIÓN DE LAS DESIGUALDADES ESPACIALES EN LA MORTALIDAD POR COVID-19 Y SU ASOCIACIÓN CON LA POBREZA MULTIDIMENSIONAL EN COLOMBIA: UN ESTUDIO DE ANÁLISIS ESPACIAL</w:t>
      </w:r>
      <w:bookmarkEnd w:id="41"/>
    </w:p>
    <w:p w14:paraId="4FEECE62" w14:textId="77777777" w:rsidR="0003157C" w:rsidRPr="00C316F8" w:rsidRDefault="0003157C" w:rsidP="003B711F">
      <w:pPr>
        <w:jc w:val="both"/>
        <w:rPr>
          <w:rFonts w:cstheme="minorHAnsi"/>
          <w:bCs/>
          <w:sz w:val="24"/>
          <w:szCs w:val="24"/>
          <w:lang w:val="es-CO"/>
        </w:rPr>
      </w:pPr>
    </w:p>
    <w:p w14:paraId="41D3B1C6" w14:textId="222B7505" w:rsidR="00C6493B" w:rsidRPr="00C316F8" w:rsidRDefault="003D695D" w:rsidP="0003157C">
      <w:pPr>
        <w:pStyle w:val="Ttulo1"/>
        <w:rPr>
          <w:lang w:val="es-CO"/>
        </w:rPr>
      </w:pPr>
      <w:bookmarkStart w:id="42" w:name="_Toc229834655"/>
      <w:r w:rsidRPr="00C316F8">
        <w:rPr>
          <w:lang w:val="es-CO"/>
        </w:rPr>
        <w:t>6.1</w:t>
      </w:r>
      <w:r w:rsidRPr="00C316F8">
        <w:rPr>
          <w:lang w:val="es-CO"/>
        </w:rPr>
        <w:tab/>
      </w:r>
      <w:r w:rsidR="0003157C" w:rsidRPr="00C316F8">
        <w:rPr>
          <w:lang w:val="es-CO"/>
        </w:rPr>
        <w:t>RESUMEN</w:t>
      </w:r>
      <w:bookmarkEnd w:id="42"/>
    </w:p>
    <w:p w14:paraId="596D9940" w14:textId="77777777" w:rsidR="0003157C" w:rsidRPr="00C316F8" w:rsidRDefault="0003157C" w:rsidP="003B711F">
      <w:pPr>
        <w:jc w:val="both"/>
        <w:rPr>
          <w:rFonts w:cstheme="minorHAnsi"/>
          <w:bCs/>
          <w:sz w:val="24"/>
          <w:szCs w:val="24"/>
          <w:lang w:val="es-CO"/>
        </w:rPr>
      </w:pPr>
    </w:p>
    <w:p w14:paraId="53B604C9" w14:textId="2AAD67A3" w:rsidR="00C6493B" w:rsidRPr="00C316F8" w:rsidRDefault="00C6493B" w:rsidP="003B711F">
      <w:pPr>
        <w:jc w:val="both"/>
        <w:rPr>
          <w:rFonts w:cstheme="minorHAnsi"/>
          <w:bCs/>
          <w:sz w:val="24"/>
          <w:szCs w:val="24"/>
          <w:lang w:val="es-CO"/>
        </w:rPr>
      </w:pPr>
      <w:r w:rsidRPr="00C316F8">
        <w:rPr>
          <w:rFonts w:cstheme="minorHAnsi"/>
          <w:bCs/>
          <w:sz w:val="24"/>
          <w:szCs w:val="24"/>
          <w:lang w:val="es-CO"/>
        </w:rPr>
        <w:t>Objetivos</w:t>
      </w:r>
    </w:p>
    <w:p w14:paraId="08E27AA6" w14:textId="77777777" w:rsidR="00C6493B" w:rsidRPr="00C316F8" w:rsidRDefault="00C6493B" w:rsidP="003B711F">
      <w:pPr>
        <w:jc w:val="both"/>
        <w:rPr>
          <w:rFonts w:cstheme="minorHAnsi"/>
          <w:sz w:val="24"/>
          <w:szCs w:val="24"/>
          <w:lang w:val="es-CO"/>
        </w:rPr>
      </w:pPr>
      <w:r w:rsidRPr="00C316F8">
        <w:rPr>
          <w:rFonts w:cstheme="minorHAnsi"/>
          <w:sz w:val="24"/>
          <w:szCs w:val="24"/>
          <w:lang w:val="es-CO"/>
        </w:rPr>
        <w:t>El objetivo de este estudio es examinar las desigualdades espaciales en las tasas de mortalidad por COVID-19 en Colombia en relación con la distribución espacial de la pobreza multidimensional.</w:t>
      </w:r>
    </w:p>
    <w:p w14:paraId="7B7877BF" w14:textId="77777777" w:rsidR="00C6493B" w:rsidRPr="00C316F8" w:rsidRDefault="00C6493B" w:rsidP="003B711F">
      <w:pPr>
        <w:jc w:val="both"/>
        <w:rPr>
          <w:rFonts w:cstheme="minorHAnsi"/>
          <w:bCs/>
          <w:sz w:val="24"/>
          <w:szCs w:val="24"/>
          <w:lang w:val="es-CO"/>
        </w:rPr>
      </w:pPr>
      <w:r w:rsidRPr="00C316F8">
        <w:rPr>
          <w:rFonts w:cstheme="minorHAnsi"/>
          <w:bCs/>
          <w:sz w:val="24"/>
          <w:szCs w:val="24"/>
          <w:lang w:val="es-CO"/>
        </w:rPr>
        <w:t>Métodos</w:t>
      </w:r>
    </w:p>
    <w:p w14:paraId="4FD2E148" w14:textId="031944FE" w:rsidR="00C6493B" w:rsidRPr="00C316F8" w:rsidRDefault="00C6493B" w:rsidP="003B711F">
      <w:pPr>
        <w:jc w:val="both"/>
        <w:rPr>
          <w:rFonts w:cstheme="minorHAnsi"/>
          <w:sz w:val="24"/>
          <w:szCs w:val="24"/>
          <w:lang w:val="es-CO"/>
        </w:rPr>
      </w:pPr>
      <w:r w:rsidRPr="00C316F8">
        <w:rPr>
          <w:rFonts w:cstheme="minorHAnsi"/>
          <w:sz w:val="24"/>
          <w:szCs w:val="24"/>
          <w:lang w:val="es-CO"/>
        </w:rPr>
        <w:t>Se realizó un estudio epidemiológico espacial retrospectivo en Colombia durante el periodo 2020–2022. Se utilizaron estadísticas espaciales como el índice de Moran, el análisis LISA y modelos de regresión autorregresivos condicionales simultáneos (SAC).</w:t>
      </w:r>
    </w:p>
    <w:p w14:paraId="303ACD5B" w14:textId="77777777" w:rsidR="00C6493B" w:rsidRPr="00C316F8" w:rsidRDefault="00C6493B" w:rsidP="003B711F">
      <w:pPr>
        <w:jc w:val="both"/>
        <w:rPr>
          <w:rFonts w:cstheme="minorHAnsi"/>
          <w:bCs/>
          <w:sz w:val="24"/>
          <w:szCs w:val="24"/>
          <w:lang w:val="es-CO"/>
        </w:rPr>
      </w:pPr>
      <w:r w:rsidRPr="00C316F8">
        <w:rPr>
          <w:rFonts w:cstheme="minorHAnsi"/>
          <w:bCs/>
          <w:sz w:val="24"/>
          <w:szCs w:val="24"/>
          <w:lang w:val="es-CO"/>
        </w:rPr>
        <w:t>Resultados</w:t>
      </w:r>
    </w:p>
    <w:p w14:paraId="5AE4D65A" w14:textId="77777777" w:rsidR="00C6493B" w:rsidRPr="00C316F8" w:rsidRDefault="00C6493B" w:rsidP="003B711F">
      <w:pPr>
        <w:jc w:val="both"/>
        <w:rPr>
          <w:rFonts w:cstheme="minorHAnsi"/>
          <w:sz w:val="24"/>
          <w:szCs w:val="24"/>
          <w:lang w:val="es-CO"/>
        </w:rPr>
      </w:pPr>
      <w:r w:rsidRPr="00C316F8">
        <w:rPr>
          <w:rFonts w:cstheme="minorHAnsi"/>
          <w:sz w:val="24"/>
          <w:szCs w:val="24"/>
          <w:lang w:val="es-CO"/>
        </w:rPr>
        <w:t>El índice de Moran para los distintos años fue el siguiente: 2020: 0.3 (p = 0.0001), 2021: 0.27 (p = 0.0001) y 2022: 0.26 (p = 0.0001). En 2020, las variables significativas fueron: bajo logro educativo, barreras para el cuidado en la primera infancia, trabajo infantil, inasistencia escolar, empleo informal, falta de aseguramiento en salud, material inadecuado del piso y hacinamiento crítico. En 2021, las variables significativas fueron: bajo logro educativo, hacinamiento crítico, disposición inadecuada de excretas y falta de acceso a fuentes de agua. En 2022, las variables significativas fueron: rezago escolar y disposición inadecuada de excretas.</w:t>
      </w:r>
    </w:p>
    <w:p w14:paraId="57F2487D" w14:textId="77777777" w:rsidR="00C6493B" w:rsidRPr="00C316F8" w:rsidRDefault="00C6493B" w:rsidP="003B711F">
      <w:pPr>
        <w:jc w:val="both"/>
        <w:rPr>
          <w:rFonts w:cstheme="minorHAnsi"/>
          <w:bCs/>
          <w:sz w:val="24"/>
          <w:szCs w:val="24"/>
          <w:lang w:val="es-CO"/>
        </w:rPr>
      </w:pPr>
      <w:r w:rsidRPr="00C316F8">
        <w:rPr>
          <w:rFonts w:cstheme="minorHAnsi"/>
          <w:bCs/>
          <w:sz w:val="24"/>
          <w:szCs w:val="24"/>
          <w:lang w:val="es-CO"/>
        </w:rPr>
        <w:t>Conclusiones</w:t>
      </w:r>
    </w:p>
    <w:p w14:paraId="04D3D3BB" w14:textId="77777777" w:rsidR="00C6493B" w:rsidRPr="00C316F8" w:rsidRDefault="00C6493B" w:rsidP="003B711F">
      <w:pPr>
        <w:jc w:val="both"/>
        <w:rPr>
          <w:rFonts w:cstheme="minorHAnsi"/>
          <w:sz w:val="24"/>
          <w:szCs w:val="24"/>
          <w:lang w:val="es-CO"/>
        </w:rPr>
      </w:pPr>
      <w:r w:rsidRPr="00C316F8">
        <w:rPr>
          <w:rFonts w:cstheme="minorHAnsi"/>
          <w:sz w:val="24"/>
          <w:szCs w:val="24"/>
          <w:lang w:val="es-CO"/>
        </w:rPr>
        <w:t>Este estudio reveló que en Colombia existe una interconexión entre diversos factores socioeconómicos y de salud que contribuyen a la mortalidad por COVID-19. Estos cambios pueden reflejar distintas dinámicas socioeconómicas, políticas y ambientales que se transformaron durante los años de la pandemia.</w:t>
      </w:r>
    </w:p>
    <w:p w14:paraId="4D6E6B20" w14:textId="77777777" w:rsidR="00C6493B" w:rsidRPr="00C316F8" w:rsidRDefault="00C6493B" w:rsidP="003B711F">
      <w:pPr>
        <w:jc w:val="both"/>
        <w:rPr>
          <w:rFonts w:cstheme="minorHAnsi"/>
          <w:bCs/>
          <w:sz w:val="24"/>
          <w:szCs w:val="24"/>
          <w:lang w:val="es-CO"/>
        </w:rPr>
      </w:pPr>
    </w:p>
    <w:p w14:paraId="20107B53" w14:textId="77777777" w:rsidR="00C6493B" w:rsidRPr="00C316F8" w:rsidRDefault="00C6493B" w:rsidP="003B711F">
      <w:pPr>
        <w:jc w:val="both"/>
        <w:rPr>
          <w:rFonts w:cstheme="minorHAnsi"/>
          <w:bCs/>
          <w:sz w:val="24"/>
          <w:szCs w:val="24"/>
          <w:lang w:val="es-CO"/>
        </w:rPr>
      </w:pPr>
      <w:r w:rsidRPr="00C316F8">
        <w:rPr>
          <w:rFonts w:cstheme="minorHAnsi"/>
          <w:bCs/>
          <w:sz w:val="24"/>
          <w:szCs w:val="24"/>
          <w:lang w:val="es-CO"/>
        </w:rPr>
        <w:t>Palabras clave</w:t>
      </w:r>
    </w:p>
    <w:p w14:paraId="6CD990C5" w14:textId="3357EAAE" w:rsidR="0034155F" w:rsidRPr="00C316F8" w:rsidRDefault="00C6493B" w:rsidP="003B711F">
      <w:pPr>
        <w:jc w:val="both"/>
        <w:rPr>
          <w:rFonts w:cstheme="minorHAnsi"/>
          <w:sz w:val="24"/>
          <w:szCs w:val="24"/>
          <w:lang w:val="es-CO"/>
        </w:rPr>
      </w:pPr>
      <w:r w:rsidRPr="00C316F8">
        <w:rPr>
          <w:rFonts w:cstheme="minorHAnsi"/>
          <w:sz w:val="24"/>
          <w:szCs w:val="24"/>
          <w:lang w:val="es-CO"/>
        </w:rPr>
        <w:t>Índice de pobreza multidimensional, mortalidad por COVID-19, Colombia, distribución espacial, factores de riesgo socioeconómicos.</w:t>
      </w:r>
    </w:p>
    <w:p w14:paraId="30D50BA1" w14:textId="77777777" w:rsidR="004F54B6" w:rsidRPr="00C316F8" w:rsidRDefault="004F54B6" w:rsidP="003B711F">
      <w:pPr>
        <w:jc w:val="both"/>
        <w:rPr>
          <w:rFonts w:cstheme="minorHAnsi"/>
          <w:sz w:val="24"/>
          <w:szCs w:val="24"/>
          <w:lang w:val="es-CO"/>
        </w:rPr>
      </w:pPr>
    </w:p>
    <w:p w14:paraId="4C85DA74" w14:textId="220A2164" w:rsidR="0034155F" w:rsidRPr="00C316F8" w:rsidRDefault="003D695D" w:rsidP="008A162D">
      <w:pPr>
        <w:pStyle w:val="Ttulo1"/>
        <w:rPr>
          <w:lang w:val="es-CO"/>
        </w:rPr>
      </w:pPr>
      <w:bookmarkStart w:id="43" w:name="_Toc229834656"/>
      <w:r w:rsidRPr="00C316F8">
        <w:rPr>
          <w:lang w:val="es-CO"/>
        </w:rPr>
        <w:lastRenderedPageBreak/>
        <w:t>6.2</w:t>
      </w:r>
      <w:r w:rsidRPr="00C316F8">
        <w:rPr>
          <w:lang w:val="es-CO"/>
        </w:rPr>
        <w:tab/>
      </w:r>
      <w:r w:rsidR="004F54B6" w:rsidRPr="00C316F8">
        <w:rPr>
          <w:lang w:val="es-CO"/>
        </w:rPr>
        <w:t>INTRODUCCION</w:t>
      </w:r>
      <w:bookmarkEnd w:id="43"/>
    </w:p>
    <w:p w14:paraId="1925DD83" w14:textId="77777777" w:rsidR="008A162D" w:rsidRPr="00C316F8" w:rsidRDefault="008A162D" w:rsidP="008A162D">
      <w:pPr>
        <w:rPr>
          <w:lang w:val="es-CO"/>
        </w:rPr>
      </w:pPr>
    </w:p>
    <w:p w14:paraId="0207E4AF" w14:textId="74C4260E" w:rsidR="0034155F" w:rsidRPr="00C316F8" w:rsidRDefault="004F54B6" w:rsidP="003B711F">
      <w:pPr>
        <w:jc w:val="both"/>
        <w:rPr>
          <w:rFonts w:cstheme="minorHAnsi"/>
          <w:sz w:val="24"/>
          <w:szCs w:val="24"/>
          <w:lang w:val="es-CO"/>
        </w:rPr>
      </w:pPr>
      <w:r w:rsidRPr="00C316F8">
        <w:rPr>
          <w:rFonts w:cstheme="minorHAnsi"/>
          <w:sz w:val="24"/>
          <w:szCs w:val="24"/>
          <w:lang w:val="es-CO"/>
        </w:rPr>
        <w:t>La pandemia de COVID-19 tuvo un impacto profundo en Colombia y un efecto heterogéneo en toda América Latina, poniendo en evidencia debilidades y capacidades variables en los sistemas de salud y en las respuestas gubernamentales de la región. La rápida propagación del virus, junto con altas tasas de contagio y mortalidad, llevó a los gobiernos a implementar diversas estrategias para mitigar sus efectos. Sin embargo, la respuesta en América Latina no fue uniforme; cada país adoptó medidas distintas según sus recursos, infraestructura y condiciones sociopolíticas. Argentina, por ejemplo, implementó cuarentenas estrictas desde el inicio, fortaleciendo la capacidad hospitalaria y la coordinación entre niveles de gobierno. Brasil construyó hospitales de campaña y activó su sistema de vigilancia epidemiológica. En Costa Rica se destacó la coordinación entre los sectores público y privado, lo que permitió brindar asistencia económica a los desempleados. Perú, por su parte, amplió el monitoreo del virus mediante pruebas serológicas dirigidas a poblaciones en riesgo. Pese a estos esfuerzos, diversos factores dificultaron una respuesta coordinada. Las tensiones políticas en Brasil y México, la escasez de recursos en Ecuador y la fragmentación de los sistemas de salud en Perú y otros países limitaron el control efectivo del virus. Las altas tasas de empleo informal y el hacinamiento dificultaron además el cumplimiento de las medidas de aislamiento y distanciamiento social, lo que evidenció los desafíos para lograr una respuesta integral y unificada en la región. América Latina enfrentó así no solo una crisis sanitaria, sino también una prueba de resiliencia y coordinación, que subraya la necesidad de fortalecer los sistemas de salud y promover políticas públicas adaptativas ante futuras emergencias sanitarias</w:t>
      </w:r>
    </w:p>
    <w:p w14:paraId="4593B0A8" w14:textId="77777777" w:rsidR="0034155F" w:rsidRPr="00C316F8" w:rsidRDefault="0034155F" w:rsidP="003B711F">
      <w:pPr>
        <w:jc w:val="both"/>
        <w:rPr>
          <w:rFonts w:cstheme="minorHAnsi"/>
          <w:sz w:val="24"/>
          <w:szCs w:val="24"/>
          <w:lang w:val="es-CO"/>
        </w:rPr>
      </w:pPr>
    </w:p>
    <w:p w14:paraId="46F75F2F" w14:textId="27EC66FE" w:rsidR="00C04A8D" w:rsidRPr="00C316F8" w:rsidRDefault="00A37052" w:rsidP="003B711F">
      <w:pPr>
        <w:jc w:val="both"/>
        <w:rPr>
          <w:rFonts w:cstheme="minorHAnsi"/>
          <w:color w:val="0D0D0D"/>
          <w:sz w:val="24"/>
          <w:szCs w:val="24"/>
          <w:shd w:val="clear" w:color="auto" w:fill="FFFFFF"/>
          <w:lang w:val="es-CO"/>
        </w:rPr>
      </w:pPr>
      <w:r w:rsidRPr="00C316F8">
        <w:rPr>
          <w:rFonts w:cstheme="minorHAnsi"/>
          <w:sz w:val="24"/>
          <w:szCs w:val="24"/>
          <w:lang w:val="es-CO"/>
        </w:rPr>
        <w:t>En Colombia, como en muchos otros países, la pandemia de COVID-19 ha exigido ajustes significativos en las estrategias gubernamentales, los sistemas de salud y las comunidades</w:t>
      </w:r>
      <w:r w:rsidR="007E5054" w:rsidRPr="00C316F8">
        <w:rPr>
          <w:rFonts w:cstheme="minorHAnsi"/>
          <w:sz w:val="24"/>
          <w:szCs w:val="24"/>
          <w:lang w:val="es-CO"/>
        </w:rPr>
        <w:t xml:space="preserve"> </w:t>
      </w:r>
      <w:r w:rsidR="007E5054" w:rsidRPr="00C316F8">
        <w:rPr>
          <w:rFonts w:cstheme="minorHAnsi"/>
          <w:color w:val="0D0D0D"/>
          <w:sz w:val="24"/>
          <w:szCs w:val="24"/>
          <w:shd w:val="clear" w:color="auto" w:fill="FFFFFF"/>
        </w:rPr>
        <w:fldChar w:fldCharType="begin"/>
      </w:r>
      <w:r w:rsidR="000D4A63" w:rsidRPr="00C316F8">
        <w:rPr>
          <w:rFonts w:cstheme="minorHAnsi"/>
          <w:color w:val="0D0D0D"/>
          <w:sz w:val="24"/>
          <w:szCs w:val="24"/>
          <w:shd w:val="clear" w:color="auto" w:fill="FFFFFF"/>
          <w:lang w:val="es-CO"/>
        </w:rPr>
        <w:instrText xml:space="preserve"> ADDIN ZOTERO_ITEM CSL_CITATION {"citationID":"uOf20tdO","properties":{"formattedCitation":"(76,77)","plainCitation":"(76,77)","noteIndex":0},"citationItems":[{"id":1571,"uris":["http://zotero.org/users/5785509/items/52UHKXCC"],"itemData":{"id":1571,"type":"article-journal","abstract":"We assess the effect of the COVID-19 pandemic and particularly the sector-specific mobility restrictions on the Colombian labour market. We exploit the sectoral and temporal variation of the restriction policies to identify their effect. Mobility restrictions significantly reduced employment, accounting for approximately a quarter of the total job loss between February and April of 2020. The remaining three quarters of the job losses could be attributed to the disease's regional patterns and other epidemiological and economic factors affecting the whole country. Therefore, we should expect important employment losses even in the absence of such restrictions. We also assess the effect of restrictions on the intensive margin, finding negative, although smaller effects on the number of hours worked and wages. Most of the employment effect is driven by salaried workers, while self-employment was more responsive to the disease spread. Finally, we find that women are disproportionally affected: mobility restrictions account for a third of the recent increase of the gender gap in salaried employment.","container-title":"Canadian Journal of Economics/Revue canadienne d'économique","DOI":"10.1111/caje.12549","ISSN":"1540-5982","issue":"S1","language":"en","license":"© 2022 Canadian Economics Association","note":"_eprint: https://onlinelibrary.wiley.com/doi/pdf/10.1111/caje.12549","page":"308-357","source":"Wiley Online Library","title":"Effects of the COVID-19 pandemic on the Colombian labour market: Disentangling the effect of sector-specific mobility restrictions","title-short":"Effects of the COVID-19 pandemic on the Colombian labour market","URL":"https://onlinelibrary.wiley.com/doi/abs/10.1111/caje.12549","volume":"55","author":[{"family":"Morales","given":"Leonardo Fabio"},{"family":"Bonilla-Mejía","given":"Leonardo"},{"family":"Pulido","given":"Jose"},{"family":"Flórez","given":"Luz A."},{"family":"Hermida","given":"Didier"},{"family":"Pulido-Mahecha","given":"Karen L."},{"family":"Lasso-Valderrama","given":"Francisco"}],"accessed":{"date-parts":[["2024",7,27]]},"issued":{"date-parts":[["2022"]]}}},{"id":1569,"uris":["http://zotero.org/users/5785509/items/RMTALIZT"],"itemData":{"id":1569,"type":"article-journal","container-title":"Research in International Business and Finance","DOI":"10.1016/j.ribaf.2020.101359","ISSN":"02755319","journalAbbreviation":"Research in International Business and Finance","language":"en","page":"101359","source":"DOI.org (Crossref)","title":"COVID-19, government policy responses, and stock market liquidity around the world: A note","title-short":"COVID-19, government policy responses, and stock market liquidity around the world","URL":"https://linkinghub.elsevier.com/retrieve/pii/S0275531920309673","volume":"56","author":[{"family":"Zaremba","given":"Adam"},{"family":"Aharon","given":"David Y."},{"family":"Demir","given":"Ender"},{"family":"Kizys","given":"Renatas"},{"family":"Zawadka","given":"Dariusz"}],"accessed":{"date-parts":[["2024",7,27]]},"issued":{"date-parts":[["2021",4]]}}}],"schema":"https://github.com/citation-style-language/schema/raw/master/csl-citation.json"} </w:instrText>
      </w:r>
      <w:r w:rsidR="007E5054" w:rsidRPr="00C316F8">
        <w:rPr>
          <w:rFonts w:cstheme="minorHAnsi"/>
          <w:color w:val="0D0D0D"/>
          <w:sz w:val="24"/>
          <w:szCs w:val="24"/>
          <w:shd w:val="clear" w:color="auto" w:fill="FFFFFF"/>
        </w:rPr>
        <w:fldChar w:fldCharType="separate"/>
      </w:r>
      <w:r w:rsidR="000D4A63" w:rsidRPr="00C316F8">
        <w:rPr>
          <w:rFonts w:ascii="Calibri" w:hAnsi="Calibri" w:cs="Calibri"/>
          <w:sz w:val="24"/>
          <w:lang w:val="es-CO"/>
        </w:rPr>
        <w:t>(76,77)</w:t>
      </w:r>
      <w:r w:rsidR="007E5054" w:rsidRPr="00C316F8">
        <w:rPr>
          <w:rFonts w:cstheme="minorHAnsi"/>
          <w:color w:val="0D0D0D"/>
          <w:sz w:val="24"/>
          <w:szCs w:val="24"/>
          <w:shd w:val="clear" w:color="auto" w:fill="FFFFFF"/>
        </w:rPr>
        <w:fldChar w:fldCharType="end"/>
      </w:r>
      <w:r w:rsidR="00C04A8D" w:rsidRPr="00C316F8">
        <w:rPr>
          <w:rFonts w:cstheme="minorHAnsi"/>
          <w:color w:val="0D0D0D"/>
          <w:sz w:val="24"/>
          <w:szCs w:val="24"/>
          <w:shd w:val="clear" w:color="auto" w:fill="FFFFFF"/>
          <w:lang w:val="es-CO"/>
        </w:rPr>
        <w:t>.</w:t>
      </w:r>
      <w:r w:rsidR="00226067" w:rsidRPr="00C316F8">
        <w:rPr>
          <w:rFonts w:cstheme="minorHAnsi"/>
          <w:color w:val="0D0D0D"/>
          <w:sz w:val="24"/>
          <w:szCs w:val="24"/>
          <w:shd w:val="clear" w:color="auto" w:fill="FFFFFF"/>
          <w:lang w:val="es-CO"/>
        </w:rPr>
        <w:t xml:space="preserve"> </w:t>
      </w:r>
      <w:r w:rsidR="00FF6085" w:rsidRPr="00C316F8">
        <w:rPr>
          <w:rFonts w:cstheme="minorHAnsi"/>
          <w:color w:val="0D0D0D"/>
          <w:sz w:val="24"/>
          <w:szCs w:val="24"/>
          <w:shd w:val="clear" w:color="auto" w:fill="FFFFFF"/>
          <w:lang w:val="es-CO"/>
        </w:rPr>
        <w:t xml:space="preserve">Esto ocurrió en un contexto de alta desigualdad y diversidad territorial, lo que puso de manifiesto la mayor vulnerabilidad de las comunidades empobrecidas durante las crisis sanitarias y económicas </w:t>
      </w:r>
      <w:r w:rsidR="00C04A8D" w:rsidRPr="00C316F8">
        <w:rPr>
          <w:rFonts w:eastAsia="Calibri" w:cstheme="minorHAnsi"/>
          <w:color w:val="0D0D0D"/>
          <w:sz w:val="24"/>
          <w:szCs w:val="24"/>
        </w:rPr>
        <w:fldChar w:fldCharType="begin"/>
      </w:r>
      <w:r w:rsidR="00A438EB" w:rsidRPr="00C316F8">
        <w:rPr>
          <w:rFonts w:eastAsia="Calibri" w:cstheme="minorHAnsi"/>
          <w:color w:val="0D0D0D"/>
          <w:sz w:val="24"/>
          <w:szCs w:val="24"/>
          <w:lang w:val="es-CO"/>
        </w:rPr>
        <w:instrText xml:space="preserve"> ADDIN ZOTERO_ITEM CSL_CITATION {"citationID":"htXhSTaW","properties":{"formattedCitation":"(78)","plainCitation":"(78)","noteIndex":0},"citationItems":[{"id":1574,"uris":["http://zotero.org/users/5785509/items/F7AW4GUJ"],"itemData":{"id":1574,"type":"article-journal","abstract":"Recent evidence points to the relevance of poverty and inequality as factors affecting the spread and mortality of the COVID-19 pandemic in Latin America. This study aimed to determine whether COVID-19 patients living in Mexican municipalities with high levels of poverty have a lower survival compared with those living in municipalities with low levels.Retrospective cohort study. Secondary data was used to define the exposure (multidimensional poverty level) and outcome (survival time) among patients diagnosed with COVID-19 between 27 February and 1 July 2020. Crude and adjusted hazard ratios (HR) from Cox regression were computed.Nearly 250 000 COVID-19 patients were included. Mortality was 12.3% reaching 59.3% in patients with ≥1 comorbidities. Multivariate survival analyses revealed that individuals living in municipalities with extreme poverty had 9% higher risk of dying at any given time proportionally to those living in municipalities classified as not poor (HR 1.09; 95% CI 1.06–1.12). The survival gap widened with the follow-up time up to the third to fourth weeks after diagnosis.Evidence suggests that the poorest population groups have a lower survival from COVID-19. Thus, combating extreme poverty should be a central preventive strategy.","container-title":"Journal of Public Health","DOI":"10.1093/pubmed/fdaa228","ISSN":"1741-3842","issue":"3","journalAbbreviation":"Journal of Public Health","page":"437-444","source":"Silverchair","title":"Poverty and survival from COVID-19 in Mexico","URL":"https://doi.org/10.1093/pubmed/fdaa228","volume":"43","author":[{"family":"Millán-Guerrero","given":"Rebeca Olivia"},{"family":"Caballero-Hoyos","given":"Ramiro"},{"family":"Monárrez-Espino","given":"Joel"}],"accessed":{"date-parts":[["2024",7,27]]},"issued":{"date-parts":[["2021",9,1]]}}}],"schema":"https://github.com/citation-style-language/schema/raw/master/csl-citation.json"} </w:instrText>
      </w:r>
      <w:r w:rsidR="00C04A8D" w:rsidRPr="00C316F8">
        <w:rPr>
          <w:rFonts w:eastAsia="Calibri" w:cstheme="minorHAnsi"/>
          <w:color w:val="0D0D0D"/>
          <w:sz w:val="24"/>
          <w:szCs w:val="24"/>
        </w:rPr>
        <w:fldChar w:fldCharType="separate"/>
      </w:r>
      <w:r w:rsidR="00A438EB" w:rsidRPr="00C316F8">
        <w:rPr>
          <w:rFonts w:ascii="Calibri" w:hAnsi="Calibri" w:cs="Calibri"/>
          <w:sz w:val="24"/>
          <w:lang w:val="es-CO"/>
        </w:rPr>
        <w:t>(78)</w:t>
      </w:r>
      <w:r w:rsidR="00C04A8D" w:rsidRPr="00C316F8">
        <w:rPr>
          <w:rFonts w:eastAsia="Calibri" w:cstheme="minorHAnsi"/>
          <w:color w:val="0D0D0D"/>
          <w:sz w:val="24"/>
          <w:szCs w:val="24"/>
        </w:rPr>
        <w:fldChar w:fldCharType="end"/>
      </w:r>
      <w:r w:rsidR="00C04A8D" w:rsidRPr="00C316F8">
        <w:rPr>
          <w:rFonts w:cstheme="minorHAnsi"/>
          <w:color w:val="0D0D0D"/>
          <w:sz w:val="24"/>
          <w:szCs w:val="24"/>
          <w:shd w:val="clear" w:color="auto" w:fill="FFFFFF"/>
          <w:lang w:val="es-CO"/>
        </w:rPr>
        <w:t xml:space="preserve">. </w:t>
      </w:r>
      <w:r w:rsidR="00DF1EE4" w:rsidRPr="00C316F8">
        <w:rPr>
          <w:rFonts w:cstheme="minorHAnsi"/>
          <w:sz w:val="24"/>
          <w:szCs w:val="24"/>
          <w:lang w:val="es-CO"/>
        </w:rPr>
        <w:t>A pesar de los avances económicos y sociales, Colombia continúa enfrentando desafíos para abordar la desigualdad.</w:t>
      </w:r>
    </w:p>
    <w:p w14:paraId="1B0B7601" w14:textId="012983D1" w:rsidR="00C04A8D" w:rsidRPr="00C316F8" w:rsidRDefault="00DF1EE4" w:rsidP="003B711F">
      <w:pPr>
        <w:jc w:val="both"/>
        <w:rPr>
          <w:rFonts w:cstheme="minorHAnsi"/>
          <w:color w:val="0D0D0D"/>
          <w:sz w:val="24"/>
          <w:szCs w:val="24"/>
          <w:shd w:val="clear" w:color="auto" w:fill="FFFFFF"/>
          <w:lang w:val="es-CO"/>
        </w:rPr>
      </w:pPr>
      <w:r w:rsidRPr="00C316F8">
        <w:rPr>
          <w:rFonts w:cstheme="minorHAnsi"/>
          <w:color w:val="0D0D0D"/>
          <w:sz w:val="24"/>
          <w:szCs w:val="24"/>
          <w:shd w:val="clear" w:color="auto" w:fill="FFFFFF"/>
          <w:lang w:val="es-CO"/>
        </w:rPr>
        <w:t xml:space="preserve">En respuesta a la emergencia sanitaria global, el país confirmó su primer caso de COVID-19 el 6 de marzo de 2020 y rápidamente amplió su capacidad diagnóstica y estructural para contener el virus. Se estableció el Puesto de Mando Unificado (PMU) para coordinar acciones con organizaciones nacionales e internacionales, y se implementó un confinamiento nacional el 25 de marzo, seguido de ajustes en las restricciones conforme evolucionaban los contagios y los niveles de ocupación de las UCI. A pesar de atravesar cuatro olas de COVID-19 hasta febrero de 2022, el sistema de salud colombiano demostró resiliencia, evitando el colapso mediante un incremento significativo de la capacidad hospitalaria, con un aumento del 156.2% en el número de camas de UCI en comparación </w:t>
      </w:r>
      <w:r w:rsidRPr="00C316F8">
        <w:rPr>
          <w:rFonts w:cstheme="minorHAnsi"/>
          <w:color w:val="0D0D0D"/>
          <w:sz w:val="24"/>
          <w:szCs w:val="24"/>
          <w:shd w:val="clear" w:color="auto" w:fill="FFFFFF"/>
          <w:lang w:val="es-CO"/>
        </w:rPr>
        <w:lastRenderedPageBreak/>
        <w:t xml:space="preserve">con los niveles previos a la pandemia, alcanzando un total de 11,044 camas de UCI y 47,640 camas hospitalarias en 2022. Además, se reforzó el personal sanitario con la graduación anticipada de aproximadamente </w:t>
      </w:r>
      <w:r w:rsidR="00385E8E" w:rsidRPr="00C316F8">
        <w:rPr>
          <w:rFonts w:cstheme="minorHAnsi"/>
          <w:color w:val="0D0D0D"/>
          <w:sz w:val="24"/>
          <w:szCs w:val="24"/>
          <w:shd w:val="clear" w:color="auto" w:fill="FFFFFF"/>
          <w:lang w:val="es-CO"/>
        </w:rPr>
        <w:t>2.500</w:t>
      </w:r>
      <w:r w:rsidRPr="00C316F8">
        <w:rPr>
          <w:rFonts w:cstheme="minorHAnsi"/>
          <w:color w:val="0D0D0D"/>
          <w:sz w:val="24"/>
          <w:szCs w:val="24"/>
          <w:shd w:val="clear" w:color="auto" w:fill="FFFFFF"/>
          <w:lang w:val="es-CO"/>
        </w:rPr>
        <w:t xml:space="preserve"> estudiantes de medicina</w:t>
      </w:r>
      <w:r w:rsidR="00F85D5A" w:rsidRPr="00C316F8">
        <w:rPr>
          <w:rFonts w:cstheme="minorHAnsi"/>
          <w:color w:val="0D0D0D"/>
          <w:sz w:val="24"/>
          <w:szCs w:val="24"/>
          <w:shd w:val="clear" w:color="auto" w:fill="FFFFFF"/>
          <w:lang w:val="es-CO"/>
        </w:rPr>
        <w:t>.</w:t>
      </w:r>
      <w:r w:rsidRPr="00C316F8">
        <w:rPr>
          <w:rFonts w:cstheme="minorHAnsi"/>
          <w:color w:val="0D0D0D"/>
          <w:sz w:val="24"/>
          <w:szCs w:val="24"/>
          <w:shd w:val="clear" w:color="auto" w:fill="FFFFFF"/>
          <w:lang w:val="es-CO"/>
        </w:rPr>
        <w:t xml:space="preserve"> </w:t>
      </w:r>
      <w:r w:rsidR="00C04A8D" w:rsidRPr="00C316F8">
        <w:rPr>
          <w:rFonts w:cstheme="minorHAnsi"/>
          <w:color w:val="0D0D0D"/>
          <w:sz w:val="24"/>
          <w:szCs w:val="24"/>
          <w:shd w:val="clear" w:color="auto" w:fill="FFFFFF"/>
        </w:rPr>
        <w:fldChar w:fldCharType="begin"/>
      </w:r>
      <w:r w:rsidR="00E426B5" w:rsidRPr="00C316F8">
        <w:rPr>
          <w:rFonts w:cstheme="minorHAnsi"/>
          <w:color w:val="0D0D0D"/>
          <w:sz w:val="24"/>
          <w:szCs w:val="24"/>
          <w:shd w:val="clear" w:color="auto" w:fill="FFFFFF"/>
          <w:lang w:val="es-CO"/>
        </w:rPr>
        <w:instrText xml:space="preserve"> ADDIN ZOTERO_ITEM CSL_CITATION {"citationID":"05FVHBay","properties":{"formattedCitation":"(79)","plainCitation":"(79)","noteIndex":0},"citationItems":[{"id":1587,"uris":["http://zotero.org/users/5785509/items/2DFS3KVT"],"itemData":{"id":1587,"type":"article-journal","container-title":"Health Policy and Technology","DOI":"10.1016/j.hlpt.2022.100621","ISSN":"22118837","issue":"2","journalAbbreviation":"Health Policy and Technology","language":"en","page":"100621","source":"DOI.org (Crossref)","title":"COVID-19 response in Colombia: Hits and misses","title-short":"COVID-19 response in Colombia","URL":"https://linkinghub.elsevier.com/retrieve/pii/S2211883722000272","volume":"11","author":[{"family":"Prada","given":"Sergio I."},{"family":"Garcia-Garcia","given":"Maria Paula"},{"family":"Guzman","given":"Javier"}],"accessed":{"date-parts":[["2024",7,27]]},"issued":{"date-parts":[["2022",6]]}}}],"schema":"https://github.com/citation-style-language/schema/raw/master/csl-citation.json"} </w:instrText>
      </w:r>
      <w:r w:rsidR="00C04A8D" w:rsidRPr="00C316F8">
        <w:rPr>
          <w:rFonts w:cstheme="minorHAnsi"/>
          <w:color w:val="0D0D0D"/>
          <w:sz w:val="24"/>
          <w:szCs w:val="24"/>
          <w:shd w:val="clear" w:color="auto" w:fill="FFFFFF"/>
        </w:rPr>
        <w:fldChar w:fldCharType="separate"/>
      </w:r>
      <w:r w:rsidR="00E426B5" w:rsidRPr="00C316F8">
        <w:rPr>
          <w:rFonts w:ascii="Calibri" w:hAnsi="Calibri" w:cs="Calibri"/>
          <w:sz w:val="24"/>
          <w:lang w:val="es-CO"/>
        </w:rPr>
        <w:t>(79)</w:t>
      </w:r>
      <w:r w:rsidR="00C04A8D" w:rsidRPr="00C316F8">
        <w:rPr>
          <w:rFonts w:cstheme="minorHAnsi"/>
          <w:color w:val="0D0D0D"/>
          <w:sz w:val="24"/>
          <w:szCs w:val="24"/>
          <w:shd w:val="clear" w:color="auto" w:fill="FFFFFF"/>
        </w:rPr>
        <w:fldChar w:fldCharType="end"/>
      </w:r>
    </w:p>
    <w:p w14:paraId="21BACC5F" w14:textId="60A956F9" w:rsidR="00C04A8D" w:rsidRPr="00C316F8" w:rsidRDefault="001A6417" w:rsidP="003B711F">
      <w:pPr>
        <w:jc w:val="both"/>
        <w:rPr>
          <w:rFonts w:cstheme="minorHAnsi"/>
          <w:color w:val="0D0D0D"/>
          <w:sz w:val="24"/>
          <w:szCs w:val="24"/>
          <w:shd w:val="clear" w:color="auto" w:fill="FFFFFF"/>
          <w:lang w:val="es-CO"/>
        </w:rPr>
      </w:pPr>
      <w:r w:rsidRPr="00C316F8">
        <w:rPr>
          <w:rFonts w:cstheme="minorHAnsi"/>
          <w:color w:val="0D0D0D"/>
          <w:sz w:val="24"/>
          <w:szCs w:val="24"/>
          <w:shd w:val="clear" w:color="auto" w:fill="FFFFFF"/>
          <w:lang w:val="es-CO"/>
        </w:rPr>
        <w:t xml:space="preserve">La vacunación contra la COVID-19 en Colombia comenzó en febrero de 2021, durante un periodo de disminución de casos. A lo largo del año, el país enfrentó una tercera ola en mayo, con una ocupación de UCI que alcanzó el </w:t>
      </w:r>
      <w:r w:rsidR="00385E8E" w:rsidRPr="00C316F8">
        <w:rPr>
          <w:rFonts w:cstheme="minorHAnsi"/>
          <w:color w:val="0D0D0D"/>
          <w:sz w:val="24"/>
          <w:szCs w:val="24"/>
          <w:shd w:val="clear" w:color="auto" w:fill="FFFFFF"/>
          <w:lang w:val="es-CO"/>
        </w:rPr>
        <w:t>86,3</w:t>
      </w:r>
      <w:r w:rsidRPr="00C316F8">
        <w:rPr>
          <w:rFonts w:cstheme="minorHAnsi"/>
          <w:color w:val="0D0D0D"/>
          <w:sz w:val="24"/>
          <w:szCs w:val="24"/>
          <w:shd w:val="clear" w:color="auto" w:fill="FFFFFF"/>
          <w:lang w:val="es-CO"/>
        </w:rPr>
        <w:t xml:space="preserve"> % y un </w:t>
      </w:r>
      <w:r w:rsidR="00385E8E" w:rsidRPr="00C316F8">
        <w:rPr>
          <w:rFonts w:cstheme="minorHAnsi"/>
          <w:color w:val="0D0D0D"/>
          <w:sz w:val="24"/>
          <w:szCs w:val="24"/>
          <w:shd w:val="clear" w:color="auto" w:fill="FFFFFF"/>
          <w:lang w:val="es-CO"/>
        </w:rPr>
        <w:t>22,47</w:t>
      </w:r>
      <w:r w:rsidRPr="00C316F8">
        <w:rPr>
          <w:rFonts w:cstheme="minorHAnsi"/>
          <w:color w:val="0D0D0D"/>
          <w:sz w:val="24"/>
          <w:szCs w:val="24"/>
          <w:shd w:val="clear" w:color="auto" w:fill="FFFFFF"/>
          <w:lang w:val="es-CO"/>
        </w:rPr>
        <w:t xml:space="preserve"> % de la población vacunada. Para julio, se priorizó al último grupo del plan de vacunación, aunque no se logró cumplir con la meta inicial. La variante Delta apareció en el país y los casos comenzaron a disminuir, alcanzando un 60 % de la población vacunada en noviembre. A finales de 2021, con la llegada de la variante Ómicron, se implementaron nuevas medidas y ajustes en la estrategia de vacunación. Para enero de 2022, el </w:t>
      </w:r>
      <w:r w:rsidR="00385E8E" w:rsidRPr="00C316F8">
        <w:rPr>
          <w:rFonts w:cstheme="minorHAnsi"/>
          <w:color w:val="0D0D0D"/>
          <w:sz w:val="24"/>
          <w:szCs w:val="24"/>
          <w:shd w:val="clear" w:color="auto" w:fill="FFFFFF"/>
          <w:lang w:val="es-CO"/>
        </w:rPr>
        <w:t>78,7</w:t>
      </w:r>
      <w:r w:rsidRPr="00C316F8">
        <w:rPr>
          <w:rFonts w:cstheme="minorHAnsi"/>
          <w:color w:val="0D0D0D"/>
          <w:sz w:val="24"/>
          <w:szCs w:val="24"/>
          <w:shd w:val="clear" w:color="auto" w:fill="FFFFFF"/>
          <w:lang w:val="es-CO"/>
        </w:rPr>
        <w:t xml:space="preserve"> % de la población estaba vacunada, y en febrero de 2022, con un </w:t>
      </w:r>
      <w:r w:rsidR="00385E8E" w:rsidRPr="00C316F8">
        <w:rPr>
          <w:rFonts w:cstheme="minorHAnsi"/>
          <w:color w:val="0D0D0D"/>
          <w:sz w:val="24"/>
          <w:szCs w:val="24"/>
          <w:shd w:val="clear" w:color="auto" w:fill="FFFFFF"/>
          <w:lang w:val="es-CO"/>
        </w:rPr>
        <w:t>80,5</w:t>
      </w:r>
      <w:r w:rsidRPr="00C316F8">
        <w:rPr>
          <w:rFonts w:cstheme="minorHAnsi"/>
          <w:color w:val="0D0D0D"/>
          <w:sz w:val="24"/>
          <w:szCs w:val="24"/>
          <w:shd w:val="clear" w:color="auto" w:fill="FFFFFF"/>
          <w:lang w:val="es-CO"/>
        </w:rPr>
        <w:t xml:space="preserve"> % vacunado, Colombia había acumulado </w:t>
      </w:r>
      <w:r w:rsidR="00385E8E" w:rsidRPr="00C316F8">
        <w:rPr>
          <w:rFonts w:cstheme="minorHAnsi"/>
          <w:color w:val="0D0D0D"/>
          <w:sz w:val="24"/>
          <w:szCs w:val="24"/>
          <w:shd w:val="clear" w:color="auto" w:fill="FFFFFF"/>
          <w:lang w:val="es-CO"/>
        </w:rPr>
        <w:t>118.096</w:t>
      </w:r>
      <w:r w:rsidRPr="00C316F8">
        <w:rPr>
          <w:rFonts w:cstheme="minorHAnsi"/>
          <w:color w:val="0D0D0D"/>
          <w:sz w:val="24"/>
          <w:szCs w:val="24"/>
          <w:shd w:val="clear" w:color="auto" w:fill="FFFFFF"/>
          <w:lang w:val="es-CO"/>
        </w:rPr>
        <w:t xml:space="preserve"> casos de COVID-19 y </w:t>
      </w:r>
      <w:r w:rsidR="00385E8E" w:rsidRPr="00C316F8">
        <w:rPr>
          <w:rFonts w:cstheme="minorHAnsi"/>
          <w:color w:val="0D0D0D"/>
          <w:sz w:val="24"/>
          <w:szCs w:val="24"/>
          <w:shd w:val="clear" w:color="auto" w:fill="FFFFFF"/>
          <w:lang w:val="es-CO"/>
        </w:rPr>
        <w:t>2.699</w:t>
      </w:r>
      <w:r w:rsidRPr="00C316F8">
        <w:rPr>
          <w:rFonts w:cstheme="minorHAnsi"/>
          <w:color w:val="0D0D0D"/>
          <w:sz w:val="24"/>
          <w:szCs w:val="24"/>
          <w:shd w:val="clear" w:color="auto" w:fill="FFFFFF"/>
          <w:lang w:val="es-CO"/>
        </w:rPr>
        <w:t xml:space="preserve"> muertes por millón de habitantes</w:t>
      </w:r>
      <w:r w:rsidR="00F85D5A" w:rsidRPr="00C316F8">
        <w:rPr>
          <w:rFonts w:cstheme="minorHAnsi"/>
          <w:color w:val="0D0D0D"/>
          <w:sz w:val="24"/>
          <w:szCs w:val="24"/>
          <w:shd w:val="clear" w:color="auto" w:fill="FFFFFF"/>
          <w:lang w:val="es-CO"/>
        </w:rPr>
        <w:t>.</w:t>
      </w:r>
      <w:r w:rsidRPr="00C316F8">
        <w:rPr>
          <w:rFonts w:cstheme="minorHAnsi"/>
          <w:color w:val="0D0D0D"/>
          <w:sz w:val="24"/>
          <w:szCs w:val="24"/>
          <w:shd w:val="clear" w:color="auto" w:fill="FFFFFF"/>
          <w:lang w:val="es-CO"/>
        </w:rPr>
        <w:t xml:space="preserve"> </w:t>
      </w:r>
      <w:r w:rsidR="00C04A8D" w:rsidRPr="00C316F8">
        <w:rPr>
          <w:rFonts w:cstheme="minorHAnsi"/>
          <w:color w:val="0D0D0D"/>
          <w:sz w:val="24"/>
          <w:szCs w:val="24"/>
          <w:shd w:val="clear" w:color="auto" w:fill="FFFFFF"/>
        </w:rPr>
        <w:fldChar w:fldCharType="begin"/>
      </w:r>
      <w:r w:rsidR="00A06AE7" w:rsidRPr="00C316F8">
        <w:rPr>
          <w:rFonts w:cstheme="minorHAnsi"/>
          <w:color w:val="0D0D0D"/>
          <w:sz w:val="24"/>
          <w:szCs w:val="24"/>
          <w:shd w:val="clear" w:color="auto" w:fill="FFFFFF"/>
          <w:lang w:val="es-CO"/>
        </w:rPr>
        <w:instrText xml:space="preserve"> ADDIN ZOTERO_ITEM CSL_CITATION {"citationID":"kjdGdkVR","properties":{"formattedCitation":"(79)","plainCitation":"(79)","noteIndex":0},"citationItems":[{"id":1587,"uris":["http://zotero.org/users/5785509/items/2DFS3KVT"],"itemData":{"id":1587,"type":"article-journal","container-title":"Health Policy and Technology","DOI":"10.1016/j.hlpt.2022.100621","ISSN":"22118837","issue":"2","journalAbbreviation":"Health Policy and Technology","language":"en","page":"100621","source":"DOI.org (Crossref)","title":"COVID-19 response in Colombia: Hits and misses","title-short":"COVID-19 response in Colombia","URL":"https://linkinghub.elsevier.com/retrieve/pii/S2211883722000272","volume":"11","author":[{"family":"Prada","given":"Sergio I."},{"family":"Garcia-Garcia","given":"Maria Paula"},{"family":"Guzman","given":"Javier"}],"accessed":{"date-parts":[["2024",7,27]]},"issued":{"date-parts":[["2022",6]]}}}],"schema":"https://github.com/citation-style-language/schema/raw/master/csl-citation.json"} </w:instrText>
      </w:r>
      <w:r w:rsidR="00C04A8D" w:rsidRPr="00C316F8">
        <w:rPr>
          <w:rFonts w:cstheme="minorHAnsi"/>
          <w:color w:val="0D0D0D"/>
          <w:sz w:val="24"/>
          <w:szCs w:val="24"/>
          <w:shd w:val="clear" w:color="auto" w:fill="FFFFFF"/>
        </w:rPr>
        <w:fldChar w:fldCharType="separate"/>
      </w:r>
      <w:r w:rsidR="00A06AE7" w:rsidRPr="00C316F8">
        <w:rPr>
          <w:rFonts w:ascii="Calibri" w:hAnsi="Calibri" w:cs="Calibri"/>
          <w:sz w:val="24"/>
          <w:lang w:val="es-CO"/>
        </w:rPr>
        <w:t>(79)</w:t>
      </w:r>
      <w:r w:rsidR="00C04A8D" w:rsidRPr="00C316F8">
        <w:rPr>
          <w:rFonts w:cstheme="minorHAnsi"/>
          <w:color w:val="0D0D0D"/>
          <w:sz w:val="24"/>
          <w:szCs w:val="24"/>
          <w:shd w:val="clear" w:color="auto" w:fill="FFFFFF"/>
        </w:rPr>
        <w:fldChar w:fldCharType="end"/>
      </w:r>
    </w:p>
    <w:p w14:paraId="163F2158" w14:textId="7CE039D0" w:rsidR="00C04A8D" w:rsidRPr="00C316F8" w:rsidRDefault="00EE75CF" w:rsidP="003B711F">
      <w:pPr>
        <w:jc w:val="both"/>
        <w:rPr>
          <w:rFonts w:cstheme="minorHAnsi"/>
          <w:sz w:val="24"/>
          <w:szCs w:val="24"/>
          <w:lang w:val="es-CO"/>
        </w:rPr>
      </w:pPr>
      <w:r w:rsidRPr="00C316F8">
        <w:rPr>
          <w:rFonts w:cstheme="minorHAnsi"/>
          <w:sz w:val="24"/>
          <w:szCs w:val="24"/>
          <w:lang w:val="es-CO"/>
        </w:rPr>
        <w:t>La medición de la pobreza multidimensional abarca una perspectiva más amplia al considerar diversas dimensiones. Esta estrategia va más allá de la simple definición de “pobre” como alguien con bajos ingresos, reconociendo que la pobreza es un fenómeno complejo y multifacético. Sin embargo, la relación entre la pobreza multidimensional y la mortalidad por COVID-19 no ha sido investigada de manera exhaustiva en países de ingresos bajos y medianos, como Colombia. A pesar de los numerosos estudios sobre el Índice de Pobreza Multidimensional Colombiano (</w:t>
      </w:r>
      <w:r w:rsidR="00AD7DA6" w:rsidRPr="00C316F8">
        <w:rPr>
          <w:rFonts w:cstheme="minorHAnsi"/>
          <w:sz w:val="24"/>
          <w:szCs w:val="24"/>
          <w:lang w:val="es-CO"/>
        </w:rPr>
        <w:t>C</w:t>
      </w:r>
      <w:r w:rsidR="000F1286" w:rsidRPr="00C316F8">
        <w:rPr>
          <w:rFonts w:cstheme="minorHAnsi"/>
          <w:sz w:val="24"/>
          <w:szCs w:val="24"/>
          <w:lang w:val="es-CO"/>
        </w:rPr>
        <w:t>MPI</w:t>
      </w:r>
      <w:r w:rsidRPr="00C316F8">
        <w:rPr>
          <w:rFonts w:cstheme="minorHAnsi"/>
          <w:sz w:val="24"/>
          <w:szCs w:val="24"/>
          <w:lang w:val="es-CO"/>
        </w:rPr>
        <w:t>) y su asociación con la mortalidad por COVID-19</w:t>
      </w:r>
      <w:r w:rsidR="00C04A8D" w:rsidRPr="00C316F8">
        <w:rPr>
          <w:rFonts w:cstheme="minorHAnsi"/>
          <w:sz w:val="24"/>
          <w:szCs w:val="24"/>
          <w:lang w:val="es-CO"/>
        </w:rPr>
        <w:t xml:space="preserve"> </w:t>
      </w:r>
      <w:r w:rsidR="00C04A8D" w:rsidRPr="00C316F8">
        <w:rPr>
          <w:rFonts w:cstheme="minorHAnsi"/>
          <w:sz w:val="24"/>
          <w:szCs w:val="24"/>
        </w:rPr>
        <w:fldChar w:fldCharType="begin"/>
      </w:r>
      <w:r w:rsidR="00B45E0E" w:rsidRPr="00C316F8">
        <w:rPr>
          <w:rFonts w:cstheme="minorHAnsi"/>
          <w:sz w:val="24"/>
          <w:szCs w:val="24"/>
          <w:lang w:val="es-CO"/>
        </w:rPr>
        <w:instrText xml:space="preserve"> ADDIN ZOTERO_ITEM CSL_CITATION {"citationID":"1rNNLFyM","properties":{"formattedCitation":"(3,80,81)","plainCitation":"(3,80,81)","noteIndex":0},"citationItems":[{"id":1581,"uris":["http://zotero.org/users/5785509/items/7V5DTLEM"],"itemData":{"id":1581,"type":"article-journal","container-title":"Hacia la Promoción de la Salud","DOI":"10.17151/hpsal.2023.28.2.5","ISSN":"0121-7577","issue":"2","language":"es","page":"64-81","publisher":"Universidad de Caldas","source":"SciELO","title":"Distribución espacial de la mortalidad por COVID-19 y su asociación con condiciones sociodemográficas en Antioquia-Colombia","URL":"http://www.scielo.org.co/scielo.php?script=sci_abstract&amp;pid=S0121-75772023000200064&amp;lng=en&amp;nrm=iso&amp;tlng=es","volume":"28","author":[{"family":"Caicedo-Velásquez","given":"Beatriz"},{"family":"Cifuentes-Ríos","given":"Ana María"},{"family":"Caicedo-Velásquez","given":"Beatriz"},{"family":"Cifuentes-Ríos","given":"Ana María"}],"accessed":{"date-parts":[["2024",7,27]]},"issued":{"date-parts":[["2023",12]]}}},{"id":1455,"uris":["http://zotero.org/users/5785509/items/KU646682"],"itemData":{"id":1455,"type":"article-journal","container-title":"Spatial and Spatio-temporal Epidemiology","ISSN":"1877-5845","journalAbbreviation":"Spatial and Spatio-temporal Epidemiology","page":"100494","publisher":"Elsevier","title":"Bayesian spatial modeling of COVID-19 case-fatality rate inequalities","volume":"41","author":[{"family":"Polo","given":"Gina"},{"family":"Soler-Tovar","given":"Diego"},{"family":"Jimenez","given":"Luis Carlos Villamil"},{"family":"Benavides-Ortiz","given":"Efraín"},{"family":"Acosta","given":"Carlos Mera"}],"issued":{"date-parts":[["2022"]]}}},{"id":94,"uris":["http://zotero.org/users/5785509/items/RGC7RPXF"],"itemData":{"id":94,"type":"article-journal","abstract":"Background\n              After 8 months of the COVID-19 pandemic, Latin American countries have some of the highest rates in COVID-19 mortality. Despite being one of the most unequal regions of the world, there is a scarce report of the effect of socioeconomic conditions on COVID-19 mortality in their countries. We aimed to identify the effect of some socioeconomic inequality-related factors on COVID-19 mortality in Colombia.\n            \n            \n              Methods\n              We conducted a survival analysis in a nation-wide retrospective cohort study of confirmed cases of COVID-19 in Colombia from 2 March 2020 to 26 October 2020. We calculated the time to death or recovery for each confirmed case in the cohort. We used an extended multivariable time-dependent Cox regression model to estimate the HR by age groups, sex, ethnicity, type of health insurance, area of residence and socioeconomic strata.\n            \n            \n              Results\n              There were 1 033 218 confirmed cases and 30 565 deaths for COVID-19 in Colombia between 2 March and 26 October. The risk of dying for COVID-19 among confirmed cases was higher in males (HR 1.68 95% CI 1.64 to 1.72), in people older than 60 years (HR 296.58 95% CI 199.22 to 441.51), in indigenous people (HR 1.20 95% CI 1.08 to 1.33), in people with subsidised health insurance regime (HR 1.89 95% CI 1.83 to 1.96) and in people living in the very low socioeconomic strata (HR 1.44 95% CI 1.24 to 1.68).\n            \n            \n              Conclusion\n              Our study provides evidence of socioeconomic inequalities in COVID-19 mortality in terms of age groups, sex, ethnicity, type of health insurance regimen and socioeconomic status.","container-title":"Journal of Epidemiology and Community Health","DOI":"10.1136/jech-2020-216275","ISSN":"0143-005X, 1470-2738","issue":"7","journalAbbreviation":"J Epidemiol Community Health","language":"en","page":"610-615","source":"DOI.org (Crossref)","title":"Socioeconomic inequalities associated with mortality for COVID-19 in Colombia: a cohort nationwide study","title-short":"Socioeconomic inequalities associated with mortality for COVID-19 in Colombia","URL":"https://jech.bmj.com/lookup/doi/10.1136/jech-2020-216275","volume":"75","author":[{"family":"Cifuentes","given":"Myriam Patricia"},{"family":"Rodriguez-Villamizar","given":"Laura Andrea"},{"family":"Rojas-Botero","given":"Maylen Liseth"},{"family":"Alvarez-Moreno","given":"Carlos Arturo"},{"family":"Fernández-Niño","given":"Julián Alfredo"}],"accessed":{"date-parts":[["2022",2,7]]},"issued":{"date-parts":[["2021",7]]}}}],"schema":"https://github.com/citation-style-language/schema/raw/master/csl-citation.json"} </w:instrText>
      </w:r>
      <w:r w:rsidR="00C04A8D" w:rsidRPr="00C316F8">
        <w:rPr>
          <w:rFonts w:cstheme="minorHAnsi"/>
          <w:sz w:val="24"/>
          <w:szCs w:val="24"/>
        </w:rPr>
        <w:fldChar w:fldCharType="separate"/>
      </w:r>
      <w:r w:rsidR="00B45E0E" w:rsidRPr="00C316F8">
        <w:rPr>
          <w:rFonts w:ascii="Calibri" w:hAnsi="Calibri" w:cs="Calibri"/>
          <w:sz w:val="24"/>
          <w:lang w:val="es-CO"/>
        </w:rPr>
        <w:t>(3,80,81)</w:t>
      </w:r>
      <w:r w:rsidR="00C04A8D" w:rsidRPr="00C316F8">
        <w:rPr>
          <w:rFonts w:cstheme="minorHAnsi"/>
          <w:sz w:val="24"/>
          <w:szCs w:val="24"/>
        </w:rPr>
        <w:fldChar w:fldCharType="end"/>
      </w:r>
      <w:r w:rsidR="00C04A8D" w:rsidRPr="00C316F8">
        <w:rPr>
          <w:rFonts w:cstheme="minorHAnsi"/>
          <w:sz w:val="24"/>
          <w:szCs w:val="24"/>
          <w:lang w:val="es-CO"/>
        </w:rPr>
        <w:t xml:space="preserve">, </w:t>
      </w:r>
      <w:r w:rsidR="00385E8E" w:rsidRPr="00C316F8">
        <w:rPr>
          <w:rFonts w:cstheme="minorHAnsi"/>
          <w:sz w:val="24"/>
          <w:szCs w:val="24"/>
          <w:lang w:val="es-CO"/>
        </w:rPr>
        <w:t>l</w:t>
      </w:r>
      <w:r w:rsidR="00A778A5" w:rsidRPr="00C316F8">
        <w:rPr>
          <w:rFonts w:cstheme="minorHAnsi"/>
          <w:sz w:val="24"/>
          <w:szCs w:val="24"/>
          <w:lang w:val="es-CO"/>
        </w:rPr>
        <w:t>as variables que han cambiado a lo largo del tiempo durante la pandemia y sus relaciones espaciales aún no han sido identificadas. Al analizar privaciones en áreas como la educación, la salud, las condiciones de infancia y juventud, la vivienda y el acceso a servicios básicos, la medición multidimensional permite una identificación más precisa de las necesidades y realidades de las personas que viven en situación de pobreza. Identificar estas variables en los distintos municipios y cómo se presentaron en los diferentes años de la pandemia facilita el diseño de políticas públicas que prioricen los factores de pobreza, permitiendo así el desarrollo de programas específicos para promover el crecimiento regional. El objetivo principal de este estudio es examinar las desigualdades espaciales en las tasas de mortalidad por COVID-19 en Colombia en relación con la distribución espacial de la pobreza multidimensional. Por esta razón, se llevó a cabo un estudio epidemiológico espacial retrospectivo, relacionando el Índice de Pobreza Multidimensional Colombiano con las tasas de mortalidad por COVID-19 durante los años 2020, 2021 y 2022.</w:t>
      </w:r>
    </w:p>
    <w:p w14:paraId="0EEEF5BA" w14:textId="77777777" w:rsidR="00C04A8D" w:rsidRPr="00C316F8" w:rsidRDefault="00C04A8D" w:rsidP="003B711F">
      <w:pPr>
        <w:jc w:val="both"/>
        <w:rPr>
          <w:rFonts w:cstheme="minorHAnsi"/>
          <w:sz w:val="24"/>
          <w:szCs w:val="24"/>
          <w:lang w:val="es-CO"/>
        </w:rPr>
      </w:pPr>
    </w:p>
    <w:p w14:paraId="0055A25D" w14:textId="26554AF6" w:rsidR="00C04A8D" w:rsidRPr="00C316F8" w:rsidRDefault="003D695D" w:rsidP="008A162D">
      <w:pPr>
        <w:pStyle w:val="Ttulo1"/>
        <w:rPr>
          <w:lang w:val="es-CO"/>
        </w:rPr>
      </w:pPr>
      <w:bookmarkStart w:id="44" w:name="_Toc229834657"/>
      <w:r w:rsidRPr="00C316F8">
        <w:rPr>
          <w:lang w:val="es-CO"/>
        </w:rPr>
        <w:t>6.3</w:t>
      </w:r>
      <w:r w:rsidRPr="00C316F8">
        <w:rPr>
          <w:lang w:val="es-CO"/>
        </w:rPr>
        <w:tab/>
      </w:r>
      <w:r w:rsidR="008A162D" w:rsidRPr="00C316F8">
        <w:rPr>
          <w:lang w:val="es-CO"/>
        </w:rPr>
        <w:t>METODOLOGÍA</w:t>
      </w:r>
      <w:bookmarkEnd w:id="44"/>
    </w:p>
    <w:p w14:paraId="49A2E85C" w14:textId="77777777" w:rsidR="008A162D" w:rsidRPr="00C316F8" w:rsidRDefault="008A162D" w:rsidP="008A162D">
      <w:pPr>
        <w:rPr>
          <w:lang w:val="es-CO"/>
        </w:rPr>
      </w:pPr>
    </w:p>
    <w:p w14:paraId="70426954" w14:textId="31800221" w:rsidR="00C04A8D" w:rsidRPr="00C316F8" w:rsidRDefault="003D695D" w:rsidP="008A162D">
      <w:pPr>
        <w:pStyle w:val="Ttulo2"/>
      </w:pPr>
      <w:bookmarkStart w:id="45" w:name="_Toc229834658"/>
      <w:r w:rsidRPr="00C316F8">
        <w:t>6.3.1</w:t>
      </w:r>
      <w:r w:rsidRPr="00C316F8">
        <w:tab/>
      </w:r>
      <w:r w:rsidR="003C3883" w:rsidRPr="00C316F8">
        <w:t xml:space="preserve">Diseño del estudio y </w:t>
      </w:r>
      <w:r w:rsidR="00C22B54" w:rsidRPr="00C316F8">
        <w:t>recolección</w:t>
      </w:r>
      <w:r w:rsidR="003C3883" w:rsidRPr="00C316F8">
        <w:t xml:space="preserve"> de datos</w:t>
      </w:r>
      <w:bookmarkEnd w:id="45"/>
    </w:p>
    <w:p w14:paraId="075F9DA6" w14:textId="77777777" w:rsidR="008A162D" w:rsidRPr="00C316F8" w:rsidRDefault="008A162D" w:rsidP="008A162D">
      <w:pPr>
        <w:rPr>
          <w:lang w:val="es-CO"/>
        </w:rPr>
      </w:pPr>
    </w:p>
    <w:p w14:paraId="3ECFA76A" w14:textId="371CB5C2" w:rsidR="00C04A8D" w:rsidRPr="00C316F8" w:rsidRDefault="00B92D07" w:rsidP="003B711F">
      <w:pPr>
        <w:jc w:val="both"/>
        <w:rPr>
          <w:rFonts w:cstheme="minorHAnsi"/>
          <w:sz w:val="24"/>
          <w:szCs w:val="24"/>
          <w:lang w:val="es-CO"/>
        </w:rPr>
      </w:pPr>
      <w:r w:rsidRPr="00C316F8">
        <w:rPr>
          <w:rFonts w:cstheme="minorHAnsi"/>
          <w:sz w:val="24"/>
          <w:szCs w:val="24"/>
          <w:lang w:val="es-CO"/>
        </w:rPr>
        <w:lastRenderedPageBreak/>
        <w:t xml:space="preserve">Se diseñó un estudio epidemiológico espacial retrospectivo que abarcó el periodo del 6 de marzo de 2020 al 31 de diciembre de 2022. La información demográfica y de mortalidad se obtuvo de la base de datos nacional de COVID-19 creada por el Instituto Nacional de Salud de Colombia (INS) para los años 2020 a 2022 </w:t>
      </w:r>
      <w:r w:rsidR="00C04A8D" w:rsidRPr="00C316F8">
        <w:rPr>
          <w:rFonts w:cstheme="minorHAnsi"/>
          <w:sz w:val="24"/>
          <w:szCs w:val="24"/>
        </w:rPr>
        <w:fldChar w:fldCharType="begin"/>
      </w:r>
      <w:r w:rsidR="007523A0" w:rsidRPr="00C316F8">
        <w:rPr>
          <w:rFonts w:cstheme="minorHAnsi"/>
          <w:sz w:val="24"/>
          <w:szCs w:val="24"/>
          <w:lang w:val="es-CO"/>
        </w:rPr>
        <w:instrText xml:space="preserve"> ADDIN ZOTERO_ITEM CSL_CITATION {"citationID":"XOTuRYIk","properties":{"formattedCitation":"(82)","plainCitation":"(82)","noteIndex":0},"citationItems":[{"id":406,"uris":["http://zotero.org/users/5785509/items/AIV78BQF"],"itemData":{"id":406,"type":"webpage","title":"Coronavirus Colombia","URL":"https://www.ins.gov.co/Noticias/Paginas/Coronavirus.aspx","accessed":{"date-parts":[["2023",6,12]]}}}],"schema":"https://github.com/citation-style-language/schema/raw/master/csl-citation.json"} </w:instrText>
      </w:r>
      <w:r w:rsidR="00C04A8D" w:rsidRPr="00C316F8">
        <w:rPr>
          <w:rFonts w:cstheme="minorHAnsi"/>
          <w:sz w:val="24"/>
          <w:szCs w:val="24"/>
        </w:rPr>
        <w:fldChar w:fldCharType="separate"/>
      </w:r>
      <w:r w:rsidR="007523A0" w:rsidRPr="00C316F8">
        <w:rPr>
          <w:rFonts w:ascii="Calibri" w:hAnsi="Calibri" w:cs="Calibri"/>
          <w:sz w:val="24"/>
          <w:lang w:val="es-CO"/>
        </w:rPr>
        <w:t>(82)</w:t>
      </w:r>
      <w:r w:rsidR="00C04A8D" w:rsidRPr="00C316F8">
        <w:rPr>
          <w:rFonts w:cstheme="minorHAnsi"/>
          <w:sz w:val="24"/>
          <w:szCs w:val="24"/>
        </w:rPr>
        <w:fldChar w:fldCharType="end"/>
      </w:r>
      <w:r w:rsidR="00C04A8D" w:rsidRPr="00C316F8">
        <w:rPr>
          <w:rFonts w:cstheme="minorHAnsi"/>
          <w:sz w:val="24"/>
          <w:szCs w:val="24"/>
          <w:lang w:val="es-CO"/>
        </w:rPr>
        <w:t xml:space="preserve">, </w:t>
      </w:r>
      <w:r w:rsidR="004550F5" w:rsidRPr="00C316F8">
        <w:rPr>
          <w:rFonts w:cstheme="minorHAnsi"/>
          <w:sz w:val="24"/>
          <w:szCs w:val="24"/>
          <w:lang w:val="es-CO"/>
        </w:rPr>
        <w:t>consolidando los casos diagnosticados con infección por COVID-19 mediante pruebas de reacción en cadena de la polimerasa (PCR) o pruebas de antígeno. Los datos sobre pobreza multidimensional se obtuvieron del Departamento Administrativo Nacional de Estadística (DANE), a partir del censo de población de 2018</w:t>
      </w:r>
      <w:r w:rsidR="00F85D5A" w:rsidRPr="00C316F8">
        <w:rPr>
          <w:rFonts w:cstheme="minorHAnsi"/>
          <w:sz w:val="24"/>
          <w:szCs w:val="24"/>
          <w:lang w:val="es-CO"/>
        </w:rPr>
        <w:t>.</w:t>
      </w:r>
      <w:r w:rsidR="004550F5" w:rsidRPr="00C316F8">
        <w:rPr>
          <w:rFonts w:cstheme="minorHAnsi"/>
          <w:sz w:val="24"/>
          <w:szCs w:val="24"/>
          <w:lang w:val="es-CO"/>
        </w:rPr>
        <w:t xml:space="preserve"> </w:t>
      </w:r>
      <w:r w:rsidR="00C04A8D" w:rsidRPr="00C316F8">
        <w:rPr>
          <w:rFonts w:cstheme="minorHAnsi"/>
          <w:sz w:val="24"/>
          <w:szCs w:val="24"/>
        </w:rPr>
        <w:fldChar w:fldCharType="begin"/>
      </w:r>
      <w:r w:rsidR="00725B27" w:rsidRPr="00C316F8">
        <w:rPr>
          <w:rFonts w:cstheme="minorHAnsi"/>
          <w:sz w:val="24"/>
          <w:szCs w:val="24"/>
          <w:lang w:val="es-CO"/>
        </w:rPr>
        <w:instrText xml:space="preserve"> ADDIN ZOTERO_ITEM CSL_CITATION {"citationID":"zYgBPexW","properties":{"formattedCitation":"(83)","plainCitation":"(83)","noteIndex":0},"citationItems":[{"id":405,"uris":["http://zotero.org/users/5785509/items/RIS5MNAN"],"itemData":{"id":405,"type":"webpage","title":"DANE - Pobreza multidimensional","URL":"https://www.dane.gov.co/index.php/estadisticas-por-tema/pobreza-y-condiciones-de-vida/pobreza-multidimensional","accessed":{"date-parts":[["2023",6,12]]}}}],"schema":"https://github.com/citation-style-language/schema/raw/master/csl-citation.json"} </w:instrText>
      </w:r>
      <w:r w:rsidR="00C04A8D" w:rsidRPr="00C316F8">
        <w:rPr>
          <w:rFonts w:cstheme="minorHAnsi"/>
          <w:sz w:val="24"/>
          <w:szCs w:val="24"/>
        </w:rPr>
        <w:fldChar w:fldCharType="separate"/>
      </w:r>
      <w:r w:rsidR="00725B27" w:rsidRPr="00C316F8">
        <w:rPr>
          <w:rFonts w:ascii="Calibri" w:hAnsi="Calibri" w:cs="Calibri"/>
          <w:sz w:val="24"/>
          <w:lang w:val="es-CO"/>
        </w:rPr>
        <w:t>(83)</w:t>
      </w:r>
      <w:r w:rsidR="00C04A8D" w:rsidRPr="00C316F8">
        <w:rPr>
          <w:rFonts w:cstheme="minorHAnsi"/>
          <w:sz w:val="24"/>
          <w:szCs w:val="24"/>
        </w:rPr>
        <w:fldChar w:fldCharType="end"/>
      </w:r>
    </w:p>
    <w:p w14:paraId="71DB7E7E" w14:textId="77777777" w:rsidR="000E44AC" w:rsidRPr="00C316F8" w:rsidRDefault="000E44AC" w:rsidP="003B711F">
      <w:pPr>
        <w:jc w:val="both"/>
        <w:rPr>
          <w:rFonts w:cstheme="minorHAnsi"/>
          <w:sz w:val="24"/>
          <w:szCs w:val="24"/>
          <w:lang w:val="es-CO"/>
        </w:rPr>
      </w:pPr>
    </w:p>
    <w:p w14:paraId="3F5664F3" w14:textId="3F832213" w:rsidR="00C04A8D" w:rsidRPr="00C316F8" w:rsidRDefault="003D695D" w:rsidP="008A162D">
      <w:pPr>
        <w:pStyle w:val="Ttulo2"/>
        <w:rPr>
          <w:rFonts w:eastAsiaTheme="minorHAnsi"/>
        </w:rPr>
      </w:pPr>
      <w:bookmarkStart w:id="46" w:name="_Toc229834659"/>
      <w:r w:rsidRPr="00C316F8">
        <w:t>6</w:t>
      </w:r>
      <w:r w:rsidR="008A162D" w:rsidRPr="00C316F8">
        <w:t>.3.2</w:t>
      </w:r>
      <w:r w:rsidR="008A162D" w:rsidRPr="00C316F8">
        <w:tab/>
      </w:r>
      <w:r w:rsidR="004550F5" w:rsidRPr="00C316F8">
        <w:rPr>
          <w:rFonts w:eastAsiaTheme="minorHAnsi"/>
        </w:rPr>
        <w:t>Medición de pobreza multidimensional</w:t>
      </w:r>
      <w:bookmarkEnd w:id="46"/>
    </w:p>
    <w:p w14:paraId="2581C6CE" w14:textId="77777777" w:rsidR="000E44AC" w:rsidRPr="00C316F8" w:rsidRDefault="000E44AC" w:rsidP="003B711F">
      <w:pPr>
        <w:jc w:val="both"/>
        <w:rPr>
          <w:rFonts w:cstheme="minorHAnsi"/>
          <w:kern w:val="2"/>
          <w:sz w:val="24"/>
          <w:szCs w:val="24"/>
          <w:lang w:val="es-CO"/>
        </w:rPr>
      </w:pPr>
    </w:p>
    <w:p w14:paraId="1E5CD2B7" w14:textId="0CEE232B" w:rsidR="00A56652" w:rsidRPr="00C316F8" w:rsidRDefault="000F1286" w:rsidP="003B711F">
      <w:pPr>
        <w:jc w:val="both"/>
        <w:rPr>
          <w:rFonts w:cstheme="minorHAnsi"/>
          <w:kern w:val="2"/>
          <w:sz w:val="24"/>
          <w:szCs w:val="24"/>
          <w:lang w:val="es-CO"/>
        </w:rPr>
      </w:pPr>
      <w:r w:rsidRPr="00C316F8">
        <w:rPr>
          <w:rFonts w:cstheme="minorHAnsi"/>
          <w:kern w:val="2"/>
          <w:sz w:val="24"/>
          <w:szCs w:val="24"/>
          <w:lang w:val="es-CO"/>
        </w:rPr>
        <w:t xml:space="preserve">El índice CMPI fue adaptado por Angulo et al. con base en el método de </w:t>
      </w:r>
      <w:r w:rsidR="00385E8E" w:rsidRPr="00C316F8">
        <w:rPr>
          <w:rFonts w:cstheme="minorHAnsi"/>
          <w:kern w:val="2"/>
          <w:sz w:val="24"/>
          <w:szCs w:val="24"/>
          <w:lang w:val="es-CO"/>
        </w:rPr>
        <w:t>Alkire-Foster</w:t>
      </w:r>
      <w:r w:rsidRPr="00C316F8">
        <w:rPr>
          <w:rFonts w:cstheme="minorHAnsi"/>
          <w:kern w:val="2"/>
          <w:sz w:val="24"/>
          <w:szCs w:val="24"/>
          <w:lang w:val="es-CO"/>
        </w:rPr>
        <w:t xml:space="preserve"> </w:t>
      </w:r>
      <w:r w:rsidR="00C04A8D" w:rsidRPr="00C316F8">
        <w:rPr>
          <w:rFonts w:cstheme="minorHAnsi"/>
          <w:kern w:val="2"/>
          <w:sz w:val="24"/>
          <w:szCs w:val="24"/>
        </w:rPr>
        <w:fldChar w:fldCharType="begin"/>
      </w:r>
      <w:r w:rsidR="00D11CDD" w:rsidRPr="00C316F8">
        <w:rPr>
          <w:rFonts w:cstheme="minorHAnsi"/>
          <w:kern w:val="2"/>
          <w:sz w:val="24"/>
          <w:szCs w:val="24"/>
          <w:lang w:val="es-CO"/>
        </w:rPr>
        <w:instrText xml:space="preserve"> ADDIN ZOTERO_ITEM CSL_CITATION {"citationID":"z5Io1nwu","properties":{"formattedCitation":"(32,84)","plainCitation":"(32,84)","noteIndex":0},"citationItems":[{"id":496,"uris":["http://zotero.org/users/5785509/items/ELRA8SZN"],"itemData":{"id":496,"type":"article-journal","abstract":"Previous multidimensional indicators adopted in Colombian, as the Unmet Basic Needs or the Living Conditions Index, lose their policy relevance and arguably have become poor instruments for poverty measurement. This paper presents the Colombian Multidimensional Poverty Index (CMPI), a synthetic indicator that overcomes the methodological problems that arose from previous multidimensional indices, and that has a broad public policy scope of use. The CMPI is based on the methodology of Alkire and Foster (2011a); is composed of five dimensions (education of household members, childhood and youth conditions, health, employment and access to household utilities and living conditions); and uses a nested weighting structure, where each dimension is equally weighted, as is each indicator within each dimension. This paper proposes the CMPI to tracking multiple deprivations across the national territory, to monitor public policies by sector and to design poverty reduction goals, among other public policy uses. Analysis of the results demonstrates that multidimensional poverty in Colombia decreased between 1997 and 2010. Multidimensional poverty rates decreased in both urban and rural areas, but imbalances remain.","language":"en","page":"52","source":"Zotero","title":"A Counting Multidimensional Poverty Index in Public Policy Context: the case of Colombia","author":[{"family":"Salazar","given":"Roberto Carlos Angulo"},{"family":"Díaz","given":"Beatriz Yadira"},{"family":"Pinzón","given":"Renata Pardo"}]}},{"id":1583,"uris":["http://zotero.org/users/5785509/items/DXQNDSRV"],"itemData":{"id":1583,"type":"article-journal","container-title":"Journal of Public Economics","DOI":"10.1016/j.jpubeco.2010.11.006","ISSN":"00472727","issue":"7-8","journalAbbreviation":"Journal of Public Economics","language":"en","license":"https://www.elsevier.com/tdm/userlicense/1.0/","page":"476-487","source":"DOI.org (Crossref)","title":"Counting and multidimensional poverty measurement","URL":"https://linkinghub.elsevier.com/retrieve/pii/S0047272710001660","volume":"95","author":[{"family":"Alkire","given":"Sabina"},{"family":"Foster","given":"James"}],"accessed":{"date-parts":[["2024",7,27]]},"issued":{"date-parts":[["2011",8]]}}}],"schema":"https://github.com/citation-style-language/schema/raw/master/csl-citation.json"} </w:instrText>
      </w:r>
      <w:r w:rsidR="00C04A8D" w:rsidRPr="00C316F8">
        <w:rPr>
          <w:rFonts w:cstheme="minorHAnsi"/>
          <w:kern w:val="2"/>
          <w:sz w:val="24"/>
          <w:szCs w:val="24"/>
        </w:rPr>
        <w:fldChar w:fldCharType="separate"/>
      </w:r>
      <w:r w:rsidR="00D11CDD" w:rsidRPr="00C316F8">
        <w:rPr>
          <w:rFonts w:ascii="Calibri" w:hAnsi="Calibri" w:cs="Calibri"/>
          <w:sz w:val="24"/>
          <w:lang w:val="es-CO"/>
        </w:rPr>
        <w:t>(32,84)</w:t>
      </w:r>
      <w:r w:rsidR="00C04A8D" w:rsidRPr="00C316F8">
        <w:rPr>
          <w:rFonts w:cstheme="minorHAnsi"/>
          <w:kern w:val="2"/>
          <w:sz w:val="24"/>
          <w:szCs w:val="24"/>
        </w:rPr>
        <w:fldChar w:fldCharType="end"/>
      </w:r>
      <w:r w:rsidR="00C04A8D" w:rsidRPr="00C316F8">
        <w:rPr>
          <w:rFonts w:cstheme="minorHAnsi"/>
          <w:kern w:val="2"/>
          <w:sz w:val="24"/>
          <w:szCs w:val="24"/>
          <w:lang w:val="es-CO"/>
        </w:rPr>
        <w:t xml:space="preserve">. </w:t>
      </w:r>
      <w:r w:rsidR="00942D5F" w:rsidRPr="00C316F8">
        <w:rPr>
          <w:rFonts w:cstheme="minorHAnsi"/>
          <w:kern w:val="2"/>
          <w:sz w:val="24"/>
          <w:szCs w:val="24"/>
          <w:lang w:val="es-CO"/>
        </w:rPr>
        <w:t xml:space="preserve">Esta adaptación se extiende a 5 dimensiones y 15 indicadores. La primera dimensión, condiciones educativas del hogar, incluye los indicadores de bajo logro educativo y analfabetismo. La segunda dimensión, condiciones de infancia y juventud, abarca la inasistencia escolar, el rezago escolar, las barreras de acceso al cuidado en la primera infancia y el trabajo infantil. La tercera dimensión, empleo, se centra en el desempleo de larga duración y el empleo informal. La cuarta dimensión, salud, incluye la falta de aseguramiento en salud y las barreras de acceso al sistema de salud. La quinta dimensión, acceso a servicios públicos y condiciones de la vivienda, considera la falta de acceso a una fuente de agua, la disposición inadecuada de excretas, el material inadecuado del piso y de las paredes, y el hacinamiento crítico </w:t>
      </w:r>
      <w:r w:rsidR="00C04A8D" w:rsidRPr="00C316F8">
        <w:rPr>
          <w:rFonts w:cstheme="minorHAnsi"/>
          <w:kern w:val="2"/>
          <w:sz w:val="24"/>
          <w:szCs w:val="24"/>
        </w:rPr>
        <w:fldChar w:fldCharType="begin"/>
      </w:r>
      <w:r w:rsidR="002063BA" w:rsidRPr="00C316F8">
        <w:rPr>
          <w:rFonts w:cstheme="minorHAnsi"/>
          <w:kern w:val="2"/>
          <w:sz w:val="24"/>
          <w:szCs w:val="24"/>
          <w:lang w:val="es-CO"/>
        </w:rPr>
        <w:instrText xml:space="preserve"> ADDIN ZOTERO_ITEM CSL_CITATION {"citationID":"KtGwRZxv","properties":{"formattedCitation":"(85\\uc0\\u8211{}88)","plainCitation":"(85–88)","noteIndex":0},"citationItems":[{"id":937,"uris":["http://zotero.org/users/5785509/items/TGPCDA42"],"itemData":{"id":937,"type":"webpage","title":"LEY 136 DE 1994","URL":"https://www.suin-juriscol.gov.co/viewDocument.asp?ruta=Leyes/1648916","accessed":{"date-parts":[["2023",12,13]]}}},{"id":1585,"uris":["http://zotero.org/users/5785509/items/HM5BJ5D6"],"itemData":{"id":1585,"type":"article-journal","abstract":"Previous multidimensional indices for the Colombian context, such as the Unmet Basic Needs Index or the Living Conditions Index, have lost their public policy relevance and arguably have become poor instruments for poverty measurement. This paper presents the Colombian Multidimensional Poverty Index (CMPI), a synthetic indicator that overcomes the methodological problems from previous multidimensional indices and has a broad public policy scope of use. The CMPI is based on the methodology of Alkire and Foster (J Public Econ 95:476–478, 2011a) and is composed of five dimensions (education of household members, childhood and youth conditions, health, employment and access to household utilities and living conditions). Additionally, it uses a nested weighting structure, where each dimension is equally weighted, as is each indicator within each dimension. This paper proposes the CMPI for tracking multiple deprivations across the national territory, to monitor public policies by sector and to design poverty reduction goals, among other public policy uses. Analysis of the results demonstrates that multidimensional poverty in Colombia decreased between 1997 and 2010 in both urban and rural areas, but imbalances remain.","container-title":"Social Indicators Research","DOI":"10.1007/s11205-015-0964-z","ISSN":"1573-0921","issue":"1","journalAbbreviation":"Soc Indic Res","language":"en","page":"1-38","source":"Springer Link","title":"The Colombian Multidimensional Poverty Index: Measuring Poverty in a Public Policy Context","title-short":"The Colombian Multidimensional Poverty Index","URL":"https://doi.org/10.1007/s11205-015-0964-z","volume":"127","author":[{"family":"Angulo","given":"Roberto"},{"family":"Díaz","given":"Yadira"},{"family":"Pardo","given":"Renata"}],"accessed":{"date-parts":[["2024",7,27]]},"issued":{"date-parts":[["2016",5,1]]}}},{"id":880,"uris":["http://zotero.org/users/5785509/items/MYPNQIQI"],"itemData":{"id":880,"type":"webpage","title":"Colombia | MPPN","URL":"https://www.mppn.org/es/paises_participantes/colombia/","accessed":{"date-parts":[["2023",10,16]]}}},{"id":939,"uris":["http://zotero.org/users/5785509/items/AD3Z6DZ3"],"itemData":{"id":939,"type":"webpage","title":"CONSTITUCIÓN POLÍTICA","URL":"http://www.secretariasenado.gov.co/constitucion-politica","accessed":{"date-parts":[["2023",12,13]]}}}],"schema":"https://github.com/citation-style-language/schema/raw/master/csl-citation.json"} </w:instrText>
      </w:r>
      <w:r w:rsidR="00C04A8D" w:rsidRPr="00C316F8">
        <w:rPr>
          <w:rFonts w:cstheme="minorHAnsi"/>
          <w:kern w:val="2"/>
          <w:sz w:val="24"/>
          <w:szCs w:val="24"/>
        </w:rPr>
        <w:fldChar w:fldCharType="separate"/>
      </w:r>
      <w:r w:rsidR="002063BA" w:rsidRPr="00C316F8">
        <w:rPr>
          <w:rFonts w:ascii="Calibri" w:hAnsi="Calibri" w:cs="Calibri"/>
          <w:sz w:val="24"/>
          <w:szCs w:val="24"/>
          <w:lang w:val="es-CO"/>
        </w:rPr>
        <w:t>(85–88)</w:t>
      </w:r>
      <w:r w:rsidR="00C04A8D" w:rsidRPr="00C316F8">
        <w:rPr>
          <w:rFonts w:cstheme="minorHAnsi"/>
          <w:kern w:val="2"/>
          <w:sz w:val="24"/>
          <w:szCs w:val="24"/>
        </w:rPr>
        <w:fldChar w:fldCharType="end"/>
      </w:r>
      <w:r w:rsidR="00C04A8D" w:rsidRPr="00C316F8">
        <w:rPr>
          <w:rFonts w:cstheme="minorHAnsi"/>
          <w:kern w:val="2"/>
          <w:sz w:val="24"/>
          <w:szCs w:val="24"/>
          <w:lang w:val="es-CO"/>
        </w:rPr>
        <w:t xml:space="preserve">. </w:t>
      </w:r>
      <w:r w:rsidR="00A56652" w:rsidRPr="00C316F8">
        <w:rPr>
          <w:rFonts w:cstheme="minorHAnsi"/>
          <w:kern w:val="2"/>
          <w:sz w:val="24"/>
          <w:szCs w:val="24"/>
          <w:lang w:val="es-CO"/>
        </w:rPr>
        <w:t>Este índice fue elegido porque permite medir múltiples privaciones que experimentan simultáneamente las personas.</w:t>
      </w:r>
    </w:p>
    <w:p w14:paraId="2415F8BE" w14:textId="77777777" w:rsidR="000E44AC" w:rsidRPr="00C316F8" w:rsidRDefault="000E44AC" w:rsidP="003B711F">
      <w:pPr>
        <w:jc w:val="both"/>
        <w:rPr>
          <w:rFonts w:cstheme="minorHAnsi"/>
          <w:kern w:val="2"/>
          <w:sz w:val="24"/>
          <w:szCs w:val="24"/>
          <w:lang w:val="es-CO"/>
        </w:rPr>
      </w:pPr>
    </w:p>
    <w:p w14:paraId="6A922A40" w14:textId="4DAF6558" w:rsidR="00C04A8D" w:rsidRPr="00C316F8" w:rsidRDefault="003D695D" w:rsidP="006B13B0">
      <w:pPr>
        <w:pStyle w:val="Ttulo2"/>
      </w:pPr>
      <w:bookmarkStart w:id="47" w:name="_Toc229834660"/>
      <w:r w:rsidRPr="00C316F8">
        <w:t>6</w:t>
      </w:r>
      <w:r w:rsidR="006B13B0" w:rsidRPr="00C316F8">
        <w:t xml:space="preserve">.3.3 </w:t>
      </w:r>
      <w:r w:rsidR="006B13B0" w:rsidRPr="00C316F8">
        <w:tab/>
        <w:t>Categorización de los municipios</w:t>
      </w:r>
      <w:bookmarkEnd w:id="47"/>
    </w:p>
    <w:p w14:paraId="0C0AEFFB" w14:textId="77777777" w:rsidR="006B13B0" w:rsidRPr="00C316F8" w:rsidRDefault="006B13B0" w:rsidP="006B13B0">
      <w:pPr>
        <w:rPr>
          <w:lang w:val="es-CO"/>
        </w:rPr>
      </w:pPr>
    </w:p>
    <w:p w14:paraId="046BC1EE" w14:textId="25AE3235" w:rsidR="00C04A8D" w:rsidRPr="00C316F8" w:rsidRDefault="000908B3" w:rsidP="003B711F">
      <w:pPr>
        <w:jc w:val="both"/>
        <w:rPr>
          <w:rFonts w:cstheme="minorHAnsi"/>
          <w:sz w:val="24"/>
          <w:szCs w:val="24"/>
          <w:lang w:val="es-CO"/>
        </w:rPr>
      </w:pPr>
      <w:r w:rsidRPr="00C316F8">
        <w:rPr>
          <w:rFonts w:cstheme="minorHAnsi"/>
          <w:sz w:val="24"/>
          <w:szCs w:val="24"/>
          <w:lang w:val="es-CO"/>
        </w:rPr>
        <w:t xml:space="preserve">En Colombia, las regulaciones </w:t>
      </w:r>
      <w:r w:rsidR="00C04A8D"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{"citationID":"TuDseMCr","properties":{"formattedCitation":"(50,85,88,89)","plainCitation":"(50,85,88,89)","noteIndex":0},"citationItems":[{"id":935,"uris":["http://zotero.org/users/5785509/items/ZWXNDZXR"],"itemData":{"id":935,"type":"webpage","title":"LEY 617 DE 2000","URL":"https://www.suin-juriscol.gov.co/viewDocument.asp?ruta=Leyes/1664753","accessed":{"date-parts":[["2023",12,13]]}}},{"id":939,"uris":["http://zotero.org/users/5785509/items/AD3Z6DZ3"],"itemData":{"id":939,"type":"webpage","title":"CONSTITUCIÓN POLÍTICA","URL":"http://www.secretariasenado.gov.co/constitucion-politica","accessed":{"date-parts":[["2023",12,13]]}}},{"id":937,"uris":["http://zotero.org/users/5785509/items/TGPCDA42"],"itemData":{"id":937,"type":"webpage","title":"LEY 136 DE 1994","URL":"https://www.suin-juriscol.gov.co/viewDocument.asp?ruta=Leyes/1648916","accessed":{"date-parts":[["2023",12,13]]}}},{"id":941,"uris":["http://zotero.org/users/5785509/items/9L8P35ZH"],"itemData":{"id":941,"type":"webpage","title":"Ley 1551 de 2012 - Gestor Normativo - Función Pública","URL":"https://www.funcionpublica.gov.co/eva/gestornormativo/norma.php?i=48267","accessed":{"date-parts":[["2023",12,13]]}}}],"schema":"https://github.com/citation-style-language/schema/raw/master/csl-citation.json"} </w:instrText>
      </w:r>
      <w:r w:rsidR="00C04A8D" w:rsidRPr="00C316F8">
        <w:rPr>
          <w:rFonts w:cstheme="minorHAnsi"/>
          <w:sz w:val="24"/>
          <w:szCs w:val="24"/>
        </w:rPr>
        <w:fldChar w:fldCharType="separate"/>
      </w:r>
      <w:r w:rsidR="002063BA" w:rsidRPr="00C316F8">
        <w:rPr>
          <w:rFonts w:ascii="Calibri" w:hAnsi="Calibri" w:cs="Calibri"/>
          <w:sz w:val="24"/>
          <w:lang w:val="es-CO"/>
        </w:rPr>
        <w:t>(50,85,88,89)</w:t>
      </w:r>
      <w:r w:rsidR="00C04A8D" w:rsidRPr="00C316F8">
        <w:rPr>
          <w:rFonts w:cstheme="minorHAnsi"/>
          <w:sz w:val="24"/>
          <w:szCs w:val="24"/>
        </w:rPr>
        <w:fldChar w:fldCharType="end"/>
      </w:r>
      <w:r w:rsidR="00C04A8D" w:rsidRPr="00C316F8">
        <w:rPr>
          <w:rFonts w:cstheme="minorHAnsi"/>
          <w:sz w:val="24"/>
          <w:szCs w:val="24"/>
          <w:lang w:val="es-CO"/>
        </w:rPr>
        <w:t xml:space="preserve"> </w:t>
      </w:r>
      <w:r w:rsidR="00355D9B" w:rsidRPr="00C316F8">
        <w:rPr>
          <w:rFonts w:cstheme="minorHAnsi"/>
          <w:sz w:val="24"/>
          <w:szCs w:val="24"/>
          <w:lang w:val="es-CO"/>
        </w:rPr>
        <w:t xml:space="preserve">En Colombia, las regulaciones establecen una categorización municipal que clasifica los municipios según su población y los ingresos corrientes libres de destinación específica. La categoría especial incluye aquellos municipios con una población igual o superior a 500,001 habitantes y con ingresos corrientes superiores a 400,000 salarios mínimos legales mensuales (SMLM). La primera categoría comprende los municipios con una población entre </w:t>
      </w:r>
      <w:r w:rsidR="00385E8E" w:rsidRPr="00C316F8">
        <w:rPr>
          <w:rFonts w:cstheme="minorHAnsi"/>
          <w:sz w:val="24"/>
          <w:szCs w:val="24"/>
          <w:lang w:val="es-CO"/>
        </w:rPr>
        <w:t>100.001</w:t>
      </w:r>
      <w:r w:rsidR="00355D9B" w:rsidRPr="00C316F8">
        <w:rPr>
          <w:rFonts w:cstheme="minorHAnsi"/>
          <w:sz w:val="24"/>
          <w:szCs w:val="24"/>
          <w:lang w:val="es-CO"/>
        </w:rPr>
        <w:t xml:space="preserve"> y </w:t>
      </w:r>
      <w:r w:rsidR="00385E8E" w:rsidRPr="00C316F8">
        <w:rPr>
          <w:rFonts w:cstheme="minorHAnsi"/>
          <w:sz w:val="24"/>
          <w:szCs w:val="24"/>
          <w:lang w:val="es-CO"/>
        </w:rPr>
        <w:t>500.000</w:t>
      </w:r>
      <w:r w:rsidR="00355D9B" w:rsidRPr="00C316F8">
        <w:rPr>
          <w:rFonts w:cstheme="minorHAnsi"/>
          <w:sz w:val="24"/>
          <w:szCs w:val="24"/>
          <w:lang w:val="es-CO"/>
        </w:rPr>
        <w:t xml:space="preserve"> habitantes, y con ingresos corrientes entre </w:t>
      </w:r>
      <w:r w:rsidR="00385E8E" w:rsidRPr="00C316F8">
        <w:rPr>
          <w:rFonts w:cstheme="minorHAnsi"/>
          <w:sz w:val="24"/>
          <w:szCs w:val="24"/>
          <w:lang w:val="es-CO"/>
        </w:rPr>
        <w:t>100.000</w:t>
      </w:r>
      <w:r w:rsidR="00355D9B" w:rsidRPr="00C316F8">
        <w:rPr>
          <w:rFonts w:cstheme="minorHAnsi"/>
          <w:sz w:val="24"/>
          <w:szCs w:val="24"/>
          <w:lang w:val="es-CO"/>
        </w:rPr>
        <w:t xml:space="preserve"> y </w:t>
      </w:r>
      <w:r w:rsidR="00385E8E" w:rsidRPr="00C316F8">
        <w:rPr>
          <w:rFonts w:cstheme="minorHAnsi"/>
          <w:sz w:val="24"/>
          <w:szCs w:val="24"/>
          <w:lang w:val="es-CO"/>
        </w:rPr>
        <w:t>400.000</w:t>
      </w:r>
      <w:r w:rsidR="00355D9B" w:rsidRPr="00C316F8">
        <w:rPr>
          <w:rFonts w:cstheme="minorHAnsi"/>
          <w:sz w:val="24"/>
          <w:szCs w:val="24"/>
          <w:lang w:val="es-CO"/>
        </w:rPr>
        <w:t xml:space="preserve"> SMLM. La segunda categoría agrupa a los municipios con una población de </w:t>
      </w:r>
      <w:r w:rsidR="00385E8E" w:rsidRPr="00C316F8">
        <w:rPr>
          <w:rFonts w:cstheme="minorHAnsi"/>
          <w:sz w:val="24"/>
          <w:szCs w:val="24"/>
          <w:lang w:val="es-CO"/>
        </w:rPr>
        <w:t>50.001</w:t>
      </w:r>
      <w:r w:rsidR="00355D9B" w:rsidRPr="00C316F8">
        <w:rPr>
          <w:rFonts w:cstheme="minorHAnsi"/>
          <w:sz w:val="24"/>
          <w:szCs w:val="24"/>
          <w:lang w:val="es-CO"/>
        </w:rPr>
        <w:t xml:space="preserve"> a </w:t>
      </w:r>
      <w:r w:rsidR="00385E8E" w:rsidRPr="00C316F8">
        <w:rPr>
          <w:rFonts w:cstheme="minorHAnsi"/>
          <w:sz w:val="24"/>
          <w:szCs w:val="24"/>
          <w:lang w:val="es-CO"/>
        </w:rPr>
        <w:t>100.000</w:t>
      </w:r>
      <w:r w:rsidR="00355D9B" w:rsidRPr="00C316F8">
        <w:rPr>
          <w:rFonts w:cstheme="minorHAnsi"/>
          <w:sz w:val="24"/>
          <w:szCs w:val="24"/>
          <w:lang w:val="es-CO"/>
        </w:rPr>
        <w:t xml:space="preserve"> habitantes e ingresos corrientes entre 50</w:t>
      </w:r>
      <w:r w:rsidR="00385E8E" w:rsidRPr="00C316F8">
        <w:rPr>
          <w:rFonts w:cstheme="minorHAnsi"/>
          <w:sz w:val="24"/>
          <w:szCs w:val="24"/>
          <w:lang w:val="es-CO"/>
        </w:rPr>
        <w:t>.</w:t>
      </w:r>
      <w:r w:rsidR="00355D9B" w:rsidRPr="00C316F8">
        <w:rPr>
          <w:rFonts w:cstheme="minorHAnsi"/>
          <w:sz w:val="24"/>
          <w:szCs w:val="24"/>
          <w:lang w:val="es-CO"/>
        </w:rPr>
        <w:t>000 y 100</w:t>
      </w:r>
      <w:r w:rsidR="00385E8E" w:rsidRPr="00C316F8">
        <w:rPr>
          <w:rFonts w:cstheme="minorHAnsi"/>
          <w:sz w:val="24"/>
          <w:szCs w:val="24"/>
          <w:lang w:val="es-CO"/>
        </w:rPr>
        <w:t>.</w:t>
      </w:r>
      <w:r w:rsidR="00355D9B" w:rsidRPr="00C316F8">
        <w:rPr>
          <w:rFonts w:cstheme="minorHAnsi"/>
          <w:sz w:val="24"/>
          <w:szCs w:val="24"/>
          <w:lang w:val="es-CO"/>
        </w:rPr>
        <w:t>000 SMLM, mientras que la tercera categoría incluye a aquellos con una población de 30</w:t>
      </w:r>
      <w:r w:rsidR="00385E8E" w:rsidRPr="00C316F8">
        <w:rPr>
          <w:rFonts w:cstheme="minorHAnsi"/>
          <w:sz w:val="24"/>
          <w:szCs w:val="24"/>
          <w:lang w:val="es-CO"/>
        </w:rPr>
        <w:t>.</w:t>
      </w:r>
      <w:r w:rsidR="00355D9B" w:rsidRPr="00C316F8">
        <w:rPr>
          <w:rFonts w:cstheme="minorHAnsi"/>
          <w:sz w:val="24"/>
          <w:szCs w:val="24"/>
          <w:lang w:val="es-CO"/>
        </w:rPr>
        <w:t>001 a 50</w:t>
      </w:r>
      <w:r w:rsidR="00385E8E" w:rsidRPr="00C316F8">
        <w:rPr>
          <w:rFonts w:cstheme="minorHAnsi"/>
          <w:sz w:val="24"/>
          <w:szCs w:val="24"/>
          <w:lang w:val="es-CO"/>
        </w:rPr>
        <w:t>.</w:t>
      </w:r>
      <w:r w:rsidR="00355D9B" w:rsidRPr="00C316F8">
        <w:rPr>
          <w:rFonts w:cstheme="minorHAnsi"/>
          <w:sz w:val="24"/>
          <w:szCs w:val="24"/>
          <w:lang w:val="es-CO"/>
        </w:rPr>
        <w:t xml:space="preserve">000 habitantes e ingresos corrientes entre </w:t>
      </w:r>
      <w:r w:rsidR="00385E8E" w:rsidRPr="00C316F8">
        <w:rPr>
          <w:rFonts w:cstheme="minorHAnsi"/>
          <w:sz w:val="24"/>
          <w:szCs w:val="24"/>
          <w:lang w:val="es-CO"/>
        </w:rPr>
        <w:t>30.000</w:t>
      </w:r>
      <w:r w:rsidR="00355D9B" w:rsidRPr="00C316F8">
        <w:rPr>
          <w:rFonts w:cstheme="minorHAnsi"/>
          <w:sz w:val="24"/>
          <w:szCs w:val="24"/>
          <w:lang w:val="es-CO"/>
        </w:rPr>
        <w:t xml:space="preserve"> y </w:t>
      </w:r>
      <w:r w:rsidR="00385E8E" w:rsidRPr="00C316F8">
        <w:rPr>
          <w:rFonts w:cstheme="minorHAnsi"/>
          <w:sz w:val="24"/>
          <w:szCs w:val="24"/>
          <w:lang w:val="es-CO"/>
        </w:rPr>
        <w:t>50.000</w:t>
      </w:r>
      <w:r w:rsidR="00355D9B" w:rsidRPr="00C316F8">
        <w:rPr>
          <w:rFonts w:cstheme="minorHAnsi"/>
          <w:sz w:val="24"/>
          <w:szCs w:val="24"/>
          <w:lang w:val="es-CO"/>
        </w:rPr>
        <w:t xml:space="preserve"> SMLM. La cuarta categoría comprende los municipios con una población de 30</w:t>
      </w:r>
      <w:r w:rsidR="00385E8E" w:rsidRPr="00C316F8">
        <w:rPr>
          <w:rFonts w:cstheme="minorHAnsi"/>
          <w:sz w:val="24"/>
          <w:szCs w:val="24"/>
          <w:lang w:val="es-CO"/>
        </w:rPr>
        <w:t>.</w:t>
      </w:r>
      <w:r w:rsidR="00355D9B" w:rsidRPr="00C316F8">
        <w:rPr>
          <w:rFonts w:cstheme="minorHAnsi"/>
          <w:sz w:val="24"/>
          <w:szCs w:val="24"/>
          <w:lang w:val="es-CO"/>
        </w:rPr>
        <w:t>001 a 50</w:t>
      </w:r>
      <w:r w:rsidR="00385E8E" w:rsidRPr="00C316F8">
        <w:rPr>
          <w:rFonts w:cstheme="minorHAnsi"/>
          <w:sz w:val="24"/>
          <w:szCs w:val="24"/>
          <w:lang w:val="es-CO"/>
        </w:rPr>
        <w:t>.</w:t>
      </w:r>
      <w:r w:rsidR="00355D9B" w:rsidRPr="00C316F8">
        <w:rPr>
          <w:rFonts w:cstheme="minorHAnsi"/>
          <w:sz w:val="24"/>
          <w:szCs w:val="24"/>
          <w:lang w:val="es-CO"/>
        </w:rPr>
        <w:t xml:space="preserve">000 </w:t>
      </w:r>
      <w:r w:rsidR="00355D9B" w:rsidRPr="00C316F8">
        <w:rPr>
          <w:rFonts w:cstheme="minorHAnsi"/>
          <w:sz w:val="24"/>
          <w:szCs w:val="24"/>
          <w:lang w:val="es-CO"/>
        </w:rPr>
        <w:lastRenderedPageBreak/>
        <w:t>habitantes e ingresos corrientes entre 25</w:t>
      </w:r>
      <w:r w:rsidR="00385E8E" w:rsidRPr="00C316F8">
        <w:rPr>
          <w:rFonts w:cstheme="minorHAnsi"/>
          <w:sz w:val="24"/>
          <w:szCs w:val="24"/>
          <w:lang w:val="es-CO"/>
        </w:rPr>
        <w:t>.</w:t>
      </w:r>
      <w:r w:rsidR="00355D9B" w:rsidRPr="00C316F8">
        <w:rPr>
          <w:rFonts w:cstheme="minorHAnsi"/>
          <w:sz w:val="24"/>
          <w:szCs w:val="24"/>
          <w:lang w:val="es-CO"/>
        </w:rPr>
        <w:t>000 y 30</w:t>
      </w:r>
      <w:r w:rsidR="00385E8E" w:rsidRPr="00C316F8">
        <w:rPr>
          <w:rFonts w:cstheme="minorHAnsi"/>
          <w:sz w:val="24"/>
          <w:szCs w:val="24"/>
          <w:lang w:val="es-CO"/>
        </w:rPr>
        <w:t>.</w:t>
      </w:r>
      <w:r w:rsidR="00355D9B" w:rsidRPr="00C316F8">
        <w:rPr>
          <w:rFonts w:cstheme="minorHAnsi"/>
          <w:sz w:val="24"/>
          <w:szCs w:val="24"/>
          <w:lang w:val="es-CO"/>
        </w:rPr>
        <w:t xml:space="preserve">000 SMLM, y la quinta categoría incluye a los municipios con una población de </w:t>
      </w:r>
      <w:r w:rsidR="00385E8E" w:rsidRPr="00C316F8">
        <w:rPr>
          <w:rFonts w:cstheme="minorHAnsi"/>
          <w:sz w:val="24"/>
          <w:szCs w:val="24"/>
          <w:lang w:val="es-CO"/>
        </w:rPr>
        <w:t>10.001</w:t>
      </w:r>
      <w:r w:rsidR="00355D9B" w:rsidRPr="00C316F8">
        <w:rPr>
          <w:rFonts w:cstheme="minorHAnsi"/>
          <w:sz w:val="24"/>
          <w:szCs w:val="24"/>
          <w:lang w:val="es-CO"/>
        </w:rPr>
        <w:t xml:space="preserve"> a </w:t>
      </w:r>
      <w:r w:rsidR="00385E8E" w:rsidRPr="00C316F8">
        <w:rPr>
          <w:rFonts w:cstheme="minorHAnsi"/>
          <w:sz w:val="24"/>
          <w:szCs w:val="24"/>
          <w:lang w:val="es-CO"/>
        </w:rPr>
        <w:t>20.000</w:t>
      </w:r>
      <w:r w:rsidR="00355D9B" w:rsidRPr="00C316F8">
        <w:rPr>
          <w:rFonts w:cstheme="minorHAnsi"/>
          <w:sz w:val="24"/>
          <w:szCs w:val="24"/>
          <w:lang w:val="es-CO"/>
        </w:rPr>
        <w:t xml:space="preserve"> habitantes e ingresos corrientes entre </w:t>
      </w:r>
      <w:r w:rsidR="00385E8E" w:rsidRPr="00C316F8">
        <w:rPr>
          <w:rFonts w:cstheme="minorHAnsi"/>
          <w:sz w:val="24"/>
          <w:szCs w:val="24"/>
          <w:lang w:val="es-CO"/>
        </w:rPr>
        <w:t>15.000</w:t>
      </w:r>
      <w:r w:rsidR="00355D9B" w:rsidRPr="00C316F8">
        <w:rPr>
          <w:rFonts w:cstheme="minorHAnsi"/>
          <w:sz w:val="24"/>
          <w:szCs w:val="24"/>
          <w:lang w:val="es-CO"/>
        </w:rPr>
        <w:t xml:space="preserve"> y </w:t>
      </w:r>
      <w:r w:rsidR="00385E8E" w:rsidRPr="00C316F8">
        <w:rPr>
          <w:rFonts w:cstheme="minorHAnsi"/>
          <w:sz w:val="24"/>
          <w:szCs w:val="24"/>
          <w:lang w:val="es-CO"/>
        </w:rPr>
        <w:t>25.000</w:t>
      </w:r>
      <w:r w:rsidR="00355D9B" w:rsidRPr="00C316F8">
        <w:rPr>
          <w:rFonts w:cstheme="minorHAnsi"/>
          <w:sz w:val="24"/>
          <w:szCs w:val="24"/>
          <w:lang w:val="es-CO"/>
        </w:rPr>
        <w:t xml:space="preserve"> SMLM. Finalmente, la sexta categoría agrupa a los municipios con una población igual o inferior a </w:t>
      </w:r>
      <w:r w:rsidR="00385E8E" w:rsidRPr="00C316F8">
        <w:rPr>
          <w:rFonts w:cstheme="minorHAnsi"/>
          <w:sz w:val="24"/>
          <w:szCs w:val="24"/>
          <w:lang w:val="es-CO"/>
        </w:rPr>
        <w:t>10.000</w:t>
      </w:r>
      <w:r w:rsidR="00355D9B" w:rsidRPr="00C316F8">
        <w:rPr>
          <w:rFonts w:cstheme="minorHAnsi"/>
          <w:sz w:val="24"/>
          <w:szCs w:val="24"/>
          <w:lang w:val="es-CO"/>
        </w:rPr>
        <w:t xml:space="preserve"> habitantes y con ingresos corrientes iguales o inferiores a </w:t>
      </w:r>
      <w:r w:rsidR="00385E8E" w:rsidRPr="00C316F8">
        <w:rPr>
          <w:rFonts w:cstheme="minorHAnsi"/>
          <w:sz w:val="24"/>
          <w:szCs w:val="24"/>
          <w:lang w:val="es-CO"/>
        </w:rPr>
        <w:t>15.000</w:t>
      </w:r>
      <w:r w:rsidR="00355D9B" w:rsidRPr="00C316F8">
        <w:rPr>
          <w:rFonts w:cstheme="minorHAnsi"/>
          <w:sz w:val="24"/>
          <w:szCs w:val="24"/>
          <w:lang w:val="es-CO"/>
        </w:rPr>
        <w:t xml:space="preserve"> SMLM. Para el 31 de diciembre de 2023, un dólar equivalía a </w:t>
      </w:r>
      <w:r w:rsidR="00385E8E" w:rsidRPr="00C316F8">
        <w:rPr>
          <w:rFonts w:cstheme="minorHAnsi"/>
          <w:sz w:val="24"/>
          <w:szCs w:val="24"/>
          <w:lang w:val="es-CO"/>
        </w:rPr>
        <w:t>3.822,05</w:t>
      </w:r>
      <w:r w:rsidR="00355D9B" w:rsidRPr="00C316F8">
        <w:rPr>
          <w:rFonts w:cstheme="minorHAnsi"/>
          <w:sz w:val="24"/>
          <w:szCs w:val="24"/>
          <w:lang w:val="es-CO"/>
        </w:rPr>
        <w:t xml:space="preserve"> pesos colombianos.</w:t>
      </w:r>
    </w:p>
    <w:p w14:paraId="34FB716C" w14:textId="2AD0AB42" w:rsidR="00C04A8D" w:rsidRPr="00C316F8" w:rsidRDefault="003D695D" w:rsidP="006B13B0">
      <w:pPr>
        <w:pStyle w:val="Ttulo1"/>
        <w:rPr>
          <w:lang w:val="es-CO"/>
        </w:rPr>
      </w:pPr>
      <w:bookmarkStart w:id="48" w:name="_Toc229834661"/>
      <w:r w:rsidRPr="00C316F8">
        <w:rPr>
          <w:lang w:val="es-CO"/>
        </w:rPr>
        <w:t>6</w:t>
      </w:r>
      <w:r w:rsidR="006B13B0" w:rsidRPr="00C316F8">
        <w:rPr>
          <w:lang w:val="es-CO"/>
        </w:rPr>
        <w:t>.4</w:t>
      </w:r>
      <w:r w:rsidR="006B13B0" w:rsidRPr="00C316F8">
        <w:rPr>
          <w:lang w:val="es-CO"/>
        </w:rPr>
        <w:tab/>
        <w:t>ANÁLISIS ESTADÍSTICO</w:t>
      </w:r>
      <w:bookmarkEnd w:id="48"/>
    </w:p>
    <w:p w14:paraId="04B57D26" w14:textId="77777777" w:rsidR="006B13B0" w:rsidRPr="00C316F8" w:rsidRDefault="006B13B0" w:rsidP="006B13B0">
      <w:pPr>
        <w:rPr>
          <w:lang w:val="es-CO"/>
        </w:rPr>
      </w:pPr>
    </w:p>
    <w:p w14:paraId="2D3B0B49" w14:textId="084E9B49" w:rsidR="00C04A8D" w:rsidRPr="00C316F8" w:rsidRDefault="002B4F46" w:rsidP="003B711F">
      <w:pPr>
        <w:jc w:val="both"/>
        <w:rPr>
          <w:rFonts w:cstheme="minorHAnsi"/>
          <w:sz w:val="24"/>
          <w:szCs w:val="24"/>
          <w:lang w:val="es-CO"/>
        </w:rPr>
      </w:pPr>
      <w:r w:rsidRPr="00C316F8">
        <w:rPr>
          <w:rFonts w:eastAsia="Calibri" w:cstheme="minorHAnsi"/>
          <w:sz w:val="24"/>
          <w:szCs w:val="24"/>
          <w:lang w:val="es-CO"/>
        </w:rPr>
        <w:t>En primer lugar, se calculó la tasa de mortalidad por COVID-19 dividiendo el total de muertes anuales atribuidas a esta causa entre la población proyectada para el mismo año, según las estimaciones del DANE, y multiplicando el resultado por 100,000 para expresar la tasa por cada 100,000 habitantes. Este enfoque utiliza la tasa bruta de mortalidad, proporcionando una medida directa y accesible del impacto de la COVID-19 sobre la mortalidad de la población general. Estos datos se evaluaron en relación con las tasas de mortalidad por COVID-19 como posibles factores explicativos, analizando el periodo comprendido entre 2020 y 2022</w:t>
      </w:r>
      <w:r w:rsidR="000E44AC" w:rsidRPr="00C316F8">
        <w:rPr>
          <w:rFonts w:eastAsia="Calibri" w:cstheme="minorHAnsi"/>
          <w:sz w:val="24"/>
          <w:szCs w:val="24"/>
          <w:lang w:val="es-CO"/>
        </w:rPr>
        <w:t>.</w:t>
      </w:r>
      <w:r w:rsidRPr="00C316F8">
        <w:rPr>
          <w:rFonts w:eastAsia="Calibri" w:cstheme="minorHAnsi"/>
          <w:sz w:val="24"/>
          <w:szCs w:val="24"/>
          <w:lang w:val="es-CO"/>
        </w:rPr>
        <w:t xml:space="preserve"> </w:t>
      </w:r>
      <w:r w:rsidR="00C04A8D" w:rsidRPr="00C316F8">
        <w:rPr>
          <w:rFonts w:cstheme="minorHAnsi"/>
          <w:sz w:val="24"/>
          <w:szCs w:val="24"/>
        </w:rPr>
        <w:fldChar w:fldCharType="begin"/>
      </w:r>
      <w:r w:rsidR="00961D28" w:rsidRPr="00C316F8">
        <w:rPr>
          <w:rFonts w:cstheme="minorHAnsi"/>
          <w:sz w:val="24"/>
          <w:szCs w:val="24"/>
          <w:lang w:val="es-CO"/>
        </w:rPr>
        <w:instrText xml:space="preserve"> ADDIN ZOTERO_ITEM CSL_CITATION {"citationID":"G8b8sgh6","properties":{"formattedCitation":"(90)","plainCitation":"(90)","noteIndex":0},"citationItems":[{"id":1652,"uris":["http://zotero.org/users/5785509/items/YNRSEB4R"],"itemData":{"id":1652,"type":"webpage","title":"DANE - Proyecciones de población","URL":"https://www.dane.gov.co/index.php/estadisticas-por-tema/demografia-y-poblacion/proyecciones-de-poblacion","accessed":{"date-parts":[["2024",10,26]]}}}],"schema":"https://github.com/citation-style-language/schema/raw/master/csl-citation.json"} </w:instrText>
      </w:r>
      <w:r w:rsidR="00C04A8D" w:rsidRPr="00C316F8">
        <w:rPr>
          <w:rFonts w:cstheme="minorHAnsi"/>
          <w:sz w:val="24"/>
          <w:szCs w:val="24"/>
        </w:rPr>
        <w:fldChar w:fldCharType="separate"/>
      </w:r>
      <w:r w:rsidR="00BB03C0" w:rsidRPr="00C316F8">
        <w:rPr>
          <w:rFonts w:ascii="Calibri" w:hAnsi="Calibri" w:cs="Calibri"/>
          <w:sz w:val="24"/>
          <w:lang w:val="es-CO"/>
        </w:rPr>
        <w:t>(90)</w:t>
      </w:r>
      <w:r w:rsidR="00C04A8D" w:rsidRPr="00C316F8">
        <w:rPr>
          <w:rFonts w:cstheme="minorHAnsi"/>
          <w:sz w:val="24"/>
          <w:szCs w:val="24"/>
        </w:rPr>
        <w:fldChar w:fldCharType="end"/>
      </w:r>
    </w:p>
    <w:p w14:paraId="1DD11089" w14:textId="1738526F" w:rsidR="00153CB4" w:rsidRPr="00C316F8" w:rsidRDefault="00153CB4" w:rsidP="003B711F">
      <w:pPr>
        <w:jc w:val="both"/>
        <w:rPr>
          <w:rFonts w:eastAsia="Calibri" w:cstheme="minorHAnsi"/>
          <w:sz w:val="24"/>
          <w:szCs w:val="24"/>
          <w:lang w:val="es-CO"/>
        </w:rPr>
      </w:pPr>
      <w:r w:rsidRPr="00C316F8">
        <w:rPr>
          <w:rFonts w:eastAsia="Calibri" w:cstheme="minorHAnsi"/>
          <w:sz w:val="24"/>
          <w:szCs w:val="24"/>
          <w:lang w:val="es-CO"/>
        </w:rPr>
        <w:t>En segundo lugar, se emplearon estadísticas del índice de Moran para evaluar la autocorrelación global y la distribución espacial del CMPI y de las tasas de mortalidad por COVID-19 (análisis univariado). Se realizó un análisis univariado del CMPI y de las tasas de mortalidad por COVID-19 en Colombia mediante métodos de correlación espacial local con el fin de identificar patrones de agrupamiento geográfico. En el caso del CMPI, se identificaron cuatro tipos de clústeres espaciales: áreas HH (Alta-Alta), que representan zonas con altos niveles de pobreza multidimensional rodeadas de áreas con niveles similares; áreas LL (Baja-Baja), que agrupan regiones con bajos niveles de pobreza; áreas HL (Alta-Baja), que incluyen zonas con alta pobreza rodeadas por áreas de baja pobreza; y áreas LH (Baja-Alta), que corresponden a zonas de baja pobreza rodeadas por áreas con alta pobreza.</w:t>
      </w:r>
    </w:p>
    <w:p w14:paraId="193626A9" w14:textId="77777777" w:rsidR="00153CB4" w:rsidRPr="00C316F8" w:rsidRDefault="00153CB4" w:rsidP="003B711F">
      <w:pPr>
        <w:jc w:val="both"/>
        <w:rPr>
          <w:rFonts w:eastAsia="Calibri" w:cstheme="minorHAnsi"/>
          <w:sz w:val="24"/>
          <w:szCs w:val="24"/>
          <w:lang w:val="es-CO"/>
        </w:rPr>
      </w:pPr>
      <w:r w:rsidRPr="00C316F8">
        <w:rPr>
          <w:rFonts w:eastAsia="Calibri" w:cstheme="minorHAnsi"/>
          <w:sz w:val="24"/>
          <w:szCs w:val="24"/>
          <w:lang w:val="es-CO"/>
        </w:rPr>
        <w:t>Para el análisis univariado de las tasas de mortalidad por COVID-19 en los años 2020, 2021 y 2022, también se identificaron cuatro áreas: las áreas HH corresponden a zonas con altas tasas de mortalidad rodeadas por regiones igualmente afectadas; las áreas LL reflejan zonas con bajas tasas de mortalidad; las áreas HL comprenden zonas con altas tasas de mortalidad rodeadas por regiones con baja mortalidad; y las áreas LH representan zonas con baja mortalidad rodeadas por regiones con altas tasas de mortalidad. Estos patrones de correlación espacial permiten identificar focos críticos y disparidades en la mortalidad por COVID-19, aportando información valiosa para diseñar estrategias de intervención focalizadas.</w:t>
      </w:r>
    </w:p>
    <w:p w14:paraId="402E95BF" w14:textId="77777777" w:rsidR="00153CB4" w:rsidRPr="00C316F8" w:rsidRDefault="00153CB4" w:rsidP="003B711F">
      <w:pPr>
        <w:jc w:val="both"/>
        <w:rPr>
          <w:rFonts w:eastAsia="Calibri" w:cstheme="minorHAnsi"/>
          <w:sz w:val="24"/>
          <w:szCs w:val="24"/>
          <w:lang w:val="es-CO"/>
        </w:rPr>
      </w:pPr>
      <w:r w:rsidRPr="00C316F8">
        <w:rPr>
          <w:rFonts w:eastAsia="Calibri" w:cstheme="minorHAnsi"/>
          <w:sz w:val="24"/>
          <w:szCs w:val="24"/>
          <w:lang w:val="es-CO"/>
        </w:rPr>
        <w:t xml:space="preserve">La dependencia espacial de los municipios se representó en un mapa utilizando un sistema de codificación por colores para indicar el tipo de interacción. Las áreas alta-alta y baja-baja </w:t>
      </w:r>
      <w:r w:rsidRPr="00C316F8">
        <w:rPr>
          <w:rFonts w:eastAsia="Calibri" w:cstheme="minorHAnsi"/>
          <w:sz w:val="24"/>
          <w:szCs w:val="24"/>
          <w:lang w:val="es-CO"/>
        </w:rPr>
        <w:lastRenderedPageBreak/>
        <w:t>reflejan correlaciones espaciales locales positivas identificadas como clústeres espaciales (rojo y azul, respectivamente), mientras que las áreas alta-baja y baja-alta representan correlaciones espaciales locales negativas (rosado y azul claro, respectivamente).</w:t>
      </w:r>
    </w:p>
    <w:p w14:paraId="168D9F47" w14:textId="225EF468" w:rsidR="00153CB4" w:rsidRPr="00C316F8" w:rsidRDefault="00153CB4" w:rsidP="003B711F">
      <w:pPr>
        <w:jc w:val="both"/>
        <w:rPr>
          <w:rFonts w:eastAsia="Calibri" w:cstheme="minorHAnsi"/>
          <w:sz w:val="24"/>
          <w:szCs w:val="24"/>
          <w:lang w:val="es-CO"/>
        </w:rPr>
      </w:pPr>
      <w:r w:rsidRPr="00C316F8">
        <w:rPr>
          <w:rFonts w:eastAsia="Calibri" w:cstheme="minorHAnsi"/>
          <w:sz w:val="24"/>
          <w:szCs w:val="24"/>
          <w:lang w:val="es-CO"/>
        </w:rPr>
        <w:t xml:space="preserve">En tercer lugar, se generaron clústeres bivariados de indicadores locales de asociación espacial (LISA) utilizando el CMPI y las tasas de mortalidad por COVID-19 para analizar la contribución de cada municipio. Este método permitió identificar patrones de agrupamiento espacial destacando áreas HH, LL, HL y LH mediante correlaciones espaciales locales. Las áreas HH, representadas en rojo, indican regiones con altos niveles tanto de pobreza como de mortalidad. Las áreas LL, en azul, agrupan regiones con bajos niveles tanto de pobreza como de mortalidad. Las áreas HL, en rosado, corresponden a regiones con alta </w:t>
      </w:r>
      <w:r w:rsidR="00385E8E" w:rsidRPr="00C316F8">
        <w:rPr>
          <w:rFonts w:eastAsia="Calibri" w:cstheme="minorHAnsi"/>
          <w:sz w:val="24"/>
          <w:szCs w:val="24"/>
          <w:lang w:val="es-CO"/>
        </w:rPr>
        <w:t>pobreza,</w:t>
      </w:r>
      <w:r w:rsidRPr="00C316F8">
        <w:rPr>
          <w:rFonts w:eastAsia="Calibri" w:cstheme="minorHAnsi"/>
          <w:sz w:val="24"/>
          <w:szCs w:val="24"/>
          <w:lang w:val="es-CO"/>
        </w:rPr>
        <w:t xml:space="preserve"> pero baja mortalidad, mientras que las áreas LH, en azul claro, representan regiones con baja pobreza acompañada de alta mortalidad. Para ambos análisis espaciales (univariado y bivariado), se utilizó el criterio de contigüidad de la reina (Queen's contiguity) de primer orden (vecinos inmediatos). El nivel de significancia estadística se estableció en </w:t>
      </w:r>
      <w:r w:rsidR="00385E8E" w:rsidRPr="00C316F8">
        <w:rPr>
          <w:rFonts w:eastAsia="Calibri" w:cstheme="minorHAnsi"/>
          <w:sz w:val="24"/>
          <w:szCs w:val="24"/>
          <w:lang w:val="es-CO"/>
        </w:rPr>
        <w:t>0,05</w:t>
      </w:r>
      <w:r w:rsidRPr="00C316F8">
        <w:rPr>
          <w:rFonts w:eastAsia="Calibri" w:cstheme="minorHAnsi"/>
          <w:sz w:val="24"/>
          <w:szCs w:val="24"/>
          <w:lang w:val="es-CO"/>
        </w:rPr>
        <w:t>.</w:t>
      </w:r>
    </w:p>
    <w:p w14:paraId="4EF69064" w14:textId="77777777" w:rsidR="00153CB4" w:rsidRPr="00C316F8" w:rsidRDefault="00153CB4" w:rsidP="003B711F">
      <w:pPr>
        <w:jc w:val="both"/>
        <w:rPr>
          <w:rFonts w:eastAsia="Calibri" w:cstheme="minorHAnsi"/>
          <w:sz w:val="24"/>
          <w:szCs w:val="24"/>
          <w:lang w:val="es-CO"/>
        </w:rPr>
      </w:pPr>
      <w:r w:rsidRPr="00C316F8">
        <w:rPr>
          <w:rFonts w:eastAsia="Calibri" w:cstheme="minorHAnsi"/>
          <w:sz w:val="24"/>
          <w:szCs w:val="24"/>
          <w:lang w:val="es-CO"/>
        </w:rPr>
        <w:t>Finalmente, se utilizó el modelo autorregresivo espacial simultáneo (SAC) para comprender las relaciones entre el CMPI y sus variables con las tasas de mortalidad por COVID-19 a lo largo de los diferentes años. El análisis estadístico se realizó utilizando R versión 4.3.1 con los paquetes sf, spatialreg, ggplot2 y epitools.</w:t>
      </w:r>
    </w:p>
    <w:p w14:paraId="5825FF6F" w14:textId="77777777" w:rsidR="000E44AC" w:rsidRPr="00C316F8" w:rsidRDefault="000E44AC" w:rsidP="003B711F">
      <w:pPr>
        <w:jc w:val="both"/>
        <w:rPr>
          <w:rFonts w:eastAsia="Calibri" w:cstheme="minorHAnsi"/>
          <w:sz w:val="24"/>
          <w:szCs w:val="24"/>
          <w:lang w:val="es-CO"/>
        </w:rPr>
      </w:pPr>
    </w:p>
    <w:p w14:paraId="002D6B7E" w14:textId="100E5814" w:rsidR="00C04A8D" w:rsidRPr="00C316F8" w:rsidRDefault="003D695D" w:rsidP="006B13B0">
      <w:pPr>
        <w:pStyle w:val="Ttulo1"/>
        <w:rPr>
          <w:lang w:val="es-CO"/>
        </w:rPr>
      </w:pPr>
      <w:bookmarkStart w:id="49" w:name="_Toc229834662"/>
      <w:r w:rsidRPr="00C316F8">
        <w:rPr>
          <w:lang w:val="es-CO"/>
        </w:rPr>
        <w:t>6</w:t>
      </w:r>
      <w:r w:rsidR="006B13B0" w:rsidRPr="00C316F8">
        <w:rPr>
          <w:lang w:val="es-CO"/>
        </w:rPr>
        <w:t>.5</w:t>
      </w:r>
      <w:r w:rsidR="006B13B0" w:rsidRPr="00C316F8">
        <w:rPr>
          <w:lang w:val="es-CO"/>
        </w:rPr>
        <w:tab/>
      </w:r>
      <w:r w:rsidR="006B13B0" w:rsidRPr="00C316F8">
        <w:rPr>
          <w:rFonts w:asciiTheme="minorHAnsi" w:eastAsiaTheme="minorHAnsi" w:hAnsiTheme="minorHAnsi"/>
          <w:lang w:val="es-CO"/>
        </w:rPr>
        <w:t>RESULT</w:t>
      </w:r>
      <w:r w:rsidR="006B13B0" w:rsidRPr="00C316F8">
        <w:rPr>
          <w:lang w:val="es-CO"/>
        </w:rPr>
        <w:t>ADOS</w:t>
      </w:r>
      <w:bookmarkEnd w:id="49"/>
    </w:p>
    <w:p w14:paraId="4A7A82BD" w14:textId="77777777" w:rsidR="006B13B0" w:rsidRPr="00C316F8" w:rsidRDefault="006B13B0" w:rsidP="006B13B0">
      <w:pPr>
        <w:rPr>
          <w:lang w:val="es-CO"/>
        </w:rPr>
      </w:pPr>
    </w:p>
    <w:p w14:paraId="17F593B6" w14:textId="018535C7" w:rsidR="006C235E" w:rsidRPr="00C316F8" w:rsidRDefault="006C235E" w:rsidP="003B711F">
      <w:pPr>
        <w:jc w:val="both"/>
        <w:rPr>
          <w:rFonts w:cstheme="minorHAnsi"/>
          <w:kern w:val="2"/>
          <w:sz w:val="24"/>
          <w:szCs w:val="24"/>
          <w:lang w:val="es-CO"/>
        </w:rPr>
      </w:pPr>
      <w:r w:rsidRPr="00C316F8">
        <w:rPr>
          <w:rFonts w:cstheme="minorHAnsi"/>
          <w:kern w:val="2"/>
          <w:sz w:val="24"/>
          <w:szCs w:val="24"/>
          <w:lang w:val="es-CO"/>
        </w:rPr>
        <w:t xml:space="preserve">En Colombia, durante el periodo comprendido entre el 6 de marzo de 2020 y el 31 de diciembre de 2022, se identificaron un total de </w:t>
      </w:r>
      <w:r w:rsidR="00B51B36" w:rsidRPr="00C316F8">
        <w:rPr>
          <w:rFonts w:cstheme="minorHAnsi"/>
          <w:kern w:val="2"/>
          <w:sz w:val="24"/>
          <w:szCs w:val="24"/>
          <w:lang w:val="es-CO"/>
        </w:rPr>
        <w:t>6.313.872</w:t>
      </w:r>
      <w:r w:rsidRPr="00C316F8">
        <w:rPr>
          <w:rFonts w:cstheme="minorHAnsi"/>
          <w:kern w:val="2"/>
          <w:sz w:val="24"/>
          <w:szCs w:val="24"/>
          <w:lang w:val="es-CO"/>
        </w:rPr>
        <w:t xml:space="preserve"> casos positivos de COVID-19. La distribución anual de los casos reveló 1</w:t>
      </w:r>
      <w:r w:rsidR="00B51B36" w:rsidRPr="00C316F8">
        <w:rPr>
          <w:rFonts w:cstheme="minorHAnsi"/>
          <w:kern w:val="2"/>
          <w:sz w:val="24"/>
          <w:szCs w:val="24"/>
          <w:lang w:val="es-CO"/>
        </w:rPr>
        <w:t>.</w:t>
      </w:r>
      <w:r w:rsidRPr="00C316F8">
        <w:rPr>
          <w:rFonts w:cstheme="minorHAnsi"/>
          <w:kern w:val="2"/>
          <w:sz w:val="24"/>
          <w:szCs w:val="24"/>
          <w:lang w:val="es-CO"/>
        </w:rPr>
        <w:t>746</w:t>
      </w:r>
      <w:r w:rsidR="00B51B36" w:rsidRPr="00C316F8">
        <w:rPr>
          <w:rFonts w:cstheme="minorHAnsi"/>
          <w:kern w:val="2"/>
          <w:sz w:val="24"/>
          <w:szCs w:val="24"/>
          <w:lang w:val="es-CO"/>
        </w:rPr>
        <w:t>.</w:t>
      </w:r>
      <w:r w:rsidRPr="00C316F8">
        <w:rPr>
          <w:rFonts w:cstheme="minorHAnsi"/>
          <w:kern w:val="2"/>
          <w:sz w:val="24"/>
          <w:szCs w:val="24"/>
          <w:lang w:val="es-CO"/>
        </w:rPr>
        <w:t xml:space="preserve">949 casos en 2020, seguidos de </w:t>
      </w:r>
      <w:r w:rsidR="00B51B36" w:rsidRPr="00C316F8">
        <w:rPr>
          <w:rFonts w:cstheme="minorHAnsi"/>
          <w:kern w:val="2"/>
          <w:sz w:val="24"/>
          <w:szCs w:val="24"/>
          <w:lang w:val="es-CO"/>
        </w:rPr>
        <w:t>3.506.804</w:t>
      </w:r>
      <w:r w:rsidRPr="00C316F8">
        <w:rPr>
          <w:rFonts w:cstheme="minorHAnsi"/>
          <w:kern w:val="2"/>
          <w:sz w:val="24"/>
          <w:szCs w:val="24"/>
          <w:lang w:val="es-CO"/>
        </w:rPr>
        <w:t xml:space="preserve"> en 2021 y </w:t>
      </w:r>
      <w:r w:rsidR="00B51B36" w:rsidRPr="00C316F8">
        <w:rPr>
          <w:rFonts w:cstheme="minorHAnsi"/>
          <w:kern w:val="2"/>
          <w:sz w:val="24"/>
          <w:szCs w:val="24"/>
          <w:lang w:val="es-CO"/>
        </w:rPr>
        <w:t>1.060.119</w:t>
      </w:r>
      <w:r w:rsidRPr="00C316F8">
        <w:rPr>
          <w:rFonts w:cstheme="minorHAnsi"/>
          <w:kern w:val="2"/>
          <w:sz w:val="24"/>
          <w:szCs w:val="24"/>
          <w:lang w:val="es-CO"/>
        </w:rPr>
        <w:t xml:space="preserve"> en 2022. Las tasas de mortalidad fueron de </w:t>
      </w:r>
      <w:r w:rsidR="00B51B36" w:rsidRPr="00C316F8">
        <w:rPr>
          <w:rFonts w:cstheme="minorHAnsi"/>
          <w:kern w:val="2"/>
          <w:sz w:val="24"/>
          <w:szCs w:val="24"/>
          <w:lang w:val="es-CO"/>
        </w:rPr>
        <w:t>118,99</w:t>
      </w:r>
      <w:r w:rsidRPr="00C316F8">
        <w:rPr>
          <w:rFonts w:cstheme="minorHAnsi"/>
          <w:kern w:val="2"/>
          <w:sz w:val="24"/>
          <w:szCs w:val="24"/>
          <w:lang w:val="es-CO"/>
        </w:rPr>
        <w:t xml:space="preserve"> por cada 100,000 habitantes en 2020, </w:t>
      </w:r>
      <w:r w:rsidR="00B51B36" w:rsidRPr="00C316F8">
        <w:rPr>
          <w:rFonts w:cstheme="minorHAnsi"/>
          <w:kern w:val="2"/>
          <w:sz w:val="24"/>
          <w:szCs w:val="24"/>
          <w:lang w:val="es-CO"/>
        </w:rPr>
        <w:t>200,84</w:t>
      </w:r>
      <w:r w:rsidRPr="00C316F8">
        <w:rPr>
          <w:rFonts w:cstheme="minorHAnsi"/>
          <w:kern w:val="2"/>
          <w:sz w:val="24"/>
          <w:szCs w:val="24"/>
          <w:lang w:val="es-CO"/>
        </w:rPr>
        <w:t xml:space="preserve"> por cada </w:t>
      </w:r>
      <w:r w:rsidR="00E8103A" w:rsidRPr="00C316F8">
        <w:rPr>
          <w:rFonts w:cstheme="minorHAnsi"/>
          <w:kern w:val="2"/>
          <w:sz w:val="24"/>
          <w:szCs w:val="24"/>
          <w:lang w:val="es-CO"/>
        </w:rPr>
        <w:t>100,000</w:t>
      </w:r>
      <w:r w:rsidRPr="00C316F8">
        <w:rPr>
          <w:rFonts w:cstheme="minorHAnsi"/>
          <w:kern w:val="2"/>
          <w:sz w:val="24"/>
          <w:szCs w:val="24"/>
          <w:lang w:val="es-CO"/>
        </w:rPr>
        <w:t xml:space="preserve"> habitantes en 2021 y </w:t>
      </w:r>
      <w:r w:rsidR="00B51B36" w:rsidRPr="00C316F8">
        <w:rPr>
          <w:rFonts w:cstheme="minorHAnsi"/>
          <w:kern w:val="2"/>
          <w:sz w:val="24"/>
          <w:szCs w:val="24"/>
          <w:lang w:val="es-CO"/>
        </w:rPr>
        <w:t>28,99</w:t>
      </w:r>
      <w:r w:rsidRPr="00C316F8">
        <w:rPr>
          <w:rFonts w:cstheme="minorHAnsi"/>
          <w:kern w:val="2"/>
          <w:sz w:val="24"/>
          <w:szCs w:val="24"/>
          <w:lang w:val="es-CO"/>
        </w:rPr>
        <w:t xml:space="preserve"> por cada 100,000 habitantes en 2022.</w:t>
      </w:r>
    </w:p>
    <w:p w14:paraId="233950C0" w14:textId="30274023" w:rsidR="00C04A8D" w:rsidRPr="00C316F8" w:rsidRDefault="006C235E" w:rsidP="003B711F">
      <w:pPr>
        <w:jc w:val="both"/>
        <w:rPr>
          <w:rFonts w:cstheme="minorHAnsi"/>
          <w:kern w:val="2"/>
          <w:sz w:val="24"/>
          <w:szCs w:val="24"/>
          <w:lang w:val="es-CO"/>
        </w:rPr>
      </w:pPr>
      <w:r w:rsidRPr="00C316F8">
        <w:rPr>
          <w:rFonts w:cstheme="minorHAnsi"/>
          <w:kern w:val="2"/>
          <w:sz w:val="24"/>
          <w:szCs w:val="24"/>
          <w:lang w:val="es-CO"/>
        </w:rPr>
        <w:t xml:space="preserve">Se observó una autocorrelación espacial global, basada en un retardo espacial de contigüidad de la reina de primer orden, para la distribución del CMPI entre los municipios, con un índice de Moran global de 0.61 (p = 0.15). De manera similar, los valores del índice de Moran global para las tasas de mortalidad anuales fueron de 0.674 en 2020, 0.674 en 2021 y 0.673 en 2022, todos con valores p no significativos (p &gt; 0.05), lo que indica una ausencia de agrupamientos espaciales significativos en las tasas de mortalidad a lo largo de esos años. La distribución espacial se muestra en la Figura </w:t>
      </w:r>
      <w:r w:rsidR="00E219B4" w:rsidRPr="00C316F8">
        <w:rPr>
          <w:rFonts w:cstheme="minorHAnsi"/>
          <w:kern w:val="2"/>
          <w:sz w:val="24"/>
          <w:szCs w:val="24"/>
          <w:lang w:val="es-CO"/>
        </w:rPr>
        <w:t>3</w:t>
      </w:r>
      <w:r w:rsidRPr="00C316F8">
        <w:rPr>
          <w:rFonts w:cstheme="minorHAnsi"/>
          <w:kern w:val="2"/>
          <w:sz w:val="24"/>
          <w:szCs w:val="24"/>
          <w:lang w:val="es-CO"/>
        </w:rPr>
        <w:t>.</w:t>
      </w:r>
    </w:p>
    <w:p w14:paraId="0FCD850D" w14:textId="41D8C83A" w:rsidR="00AA78DF" w:rsidRPr="00C316F8" w:rsidRDefault="00AA78DF" w:rsidP="00AA78DF">
      <w:pPr>
        <w:pStyle w:val="Descripcin"/>
        <w:rPr>
          <w:rFonts w:ascii="Calibri" w:hAnsi="Calibri" w:cs="Calibri"/>
          <w:b/>
          <w:bCs/>
          <w:i w:val="0"/>
          <w:iCs w:val="0"/>
          <w:color w:val="auto"/>
          <w:sz w:val="24"/>
          <w:szCs w:val="24"/>
        </w:rPr>
      </w:pPr>
      <w:bookmarkStart w:id="50" w:name="_Toc229834708"/>
      <w:r w:rsidRPr="00C316F8">
        <w:rPr>
          <w:rFonts w:ascii="Calibri" w:hAnsi="Calibri" w:cs="Calibri"/>
          <w:b/>
          <w:bCs/>
          <w:i w:val="0"/>
          <w:iCs w:val="0"/>
          <w:color w:val="auto"/>
          <w:sz w:val="24"/>
          <w:szCs w:val="24"/>
        </w:rPr>
        <w:t xml:space="preserve">Figura </w:t>
      </w:r>
      <w:r w:rsidRPr="00C316F8">
        <w:rPr>
          <w:rFonts w:ascii="Calibri" w:hAnsi="Calibri" w:cs="Calibri"/>
          <w:b/>
          <w:bCs/>
          <w:i w:val="0"/>
          <w:iCs w:val="0"/>
          <w:color w:val="auto"/>
          <w:sz w:val="24"/>
          <w:szCs w:val="24"/>
        </w:rPr>
        <w:fldChar w:fldCharType="begin"/>
      </w:r>
      <w:r w:rsidRPr="00C316F8">
        <w:rPr>
          <w:rFonts w:ascii="Calibri" w:hAnsi="Calibri" w:cs="Calibri"/>
          <w:b/>
          <w:bCs/>
          <w:i w:val="0"/>
          <w:iCs w:val="0"/>
          <w:color w:val="auto"/>
          <w:sz w:val="24"/>
          <w:szCs w:val="24"/>
        </w:rPr>
        <w:instrText xml:space="preserve"> SEQ Figura \* ARABIC </w:instrText>
      </w:r>
      <w:r w:rsidRPr="00C316F8">
        <w:rPr>
          <w:rFonts w:ascii="Calibri" w:hAnsi="Calibri" w:cs="Calibri"/>
          <w:b/>
          <w:bCs/>
          <w:i w:val="0"/>
          <w:iCs w:val="0"/>
          <w:color w:val="auto"/>
          <w:sz w:val="24"/>
          <w:szCs w:val="24"/>
        </w:rPr>
        <w:fldChar w:fldCharType="separate"/>
      </w:r>
      <w:r w:rsidR="00432859" w:rsidRPr="00C316F8">
        <w:rPr>
          <w:rFonts w:ascii="Calibri" w:hAnsi="Calibri" w:cs="Calibri"/>
          <w:b/>
          <w:bCs/>
          <w:i w:val="0"/>
          <w:iCs w:val="0"/>
          <w:noProof/>
          <w:color w:val="auto"/>
          <w:sz w:val="24"/>
          <w:szCs w:val="24"/>
        </w:rPr>
        <w:t>3</w:t>
      </w:r>
      <w:r w:rsidRPr="00C316F8">
        <w:rPr>
          <w:rFonts w:ascii="Calibri" w:hAnsi="Calibri" w:cs="Calibri"/>
          <w:b/>
          <w:bCs/>
          <w:i w:val="0"/>
          <w:iCs w:val="0"/>
          <w:color w:val="auto"/>
          <w:sz w:val="24"/>
          <w:szCs w:val="24"/>
        </w:rPr>
        <w:fldChar w:fldCharType="end"/>
      </w:r>
      <w:r w:rsidRPr="00C316F8">
        <w:rPr>
          <w:rFonts w:ascii="Calibri" w:hAnsi="Calibri" w:cs="Calibri"/>
          <w:b/>
          <w:bCs/>
          <w:i w:val="0"/>
          <w:iCs w:val="0"/>
          <w:color w:val="auto"/>
          <w:sz w:val="24"/>
          <w:szCs w:val="24"/>
        </w:rPr>
        <w:t>. Análisis LISA univariado del CMPI (Colombia, 2018) y de las tasas de mortalidad (Colombia, 2020–</w:t>
      </w:r>
      <w:r w:rsidRPr="00C316F8">
        <w:rPr>
          <w:rFonts w:asciiTheme="minorHAnsi" w:hAnsiTheme="minorHAnsi" w:cstheme="minorHAnsi"/>
          <w:b/>
          <w:bCs/>
          <w:i w:val="0"/>
          <w:iCs w:val="0"/>
          <w:color w:val="auto"/>
          <w:sz w:val="24"/>
          <w:szCs w:val="24"/>
        </w:rPr>
        <w:t>2022)</w:t>
      </w:r>
      <w:bookmarkEnd w:id="50"/>
    </w:p>
    <w:p w14:paraId="72BCDCFC" w14:textId="29740AE5" w:rsidR="002E675B" w:rsidRPr="00C316F8" w:rsidRDefault="00646826" w:rsidP="002E675B">
      <w:pPr>
        <w:jc w:val="both"/>
        <w:rPr>
          <w:rFonts w:eastAsia="Calibri" w:cstheme="minorHAnsi"/>
          <w:sz w:val="24"/>
          <w:szCs w:val="24"/>
          <w:lang w:val="es-CO"/>
        </w:rPr>
      </w:pPr>
      <w:r w:rsidRPr="00C316F8">
        <w:rPr>
          <w:rFonts w:cstheme="minorHAnsi"/>
          <w:noProof/>
          <w:sz w:val="24"/>
          <w:szCs w:val="24"/>
        </w:rPr>
        <w:lastRenderedPageBreak/>
        <w:drawing>
          <wp:inline distT="0" distB="0" distL="0" distR="0" wp14:anchorId="5A541F32" wp14:editId="0A9C0FFE">
            <wp:extent cx="5612130" cy="2967990"/>
            <wp:effectExtent l="0" t="0" r="7620" b="3810"/>
            <wp:docPr id="3" name="Imagen 3" descr="Map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Mapa&#10;&#10;Descripción generada automáticamente con confianza baj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2130" cy="2967990"/>
                    </a:xfrm>
                    <a:prstGeom prst="rect">
                      <a:avLst/>
                    </a:prstGeom>
                    <a:noFill/>
                    <a:ln>
                      <a:noFill/>
                    </a:ln>
                  </pic:spPr>
                </pic:pic>
              </a:graphicData>
            </a:graphic>
          </wp:inline>
        </w:drawing>
      </w:r>
      <w:r w:rsidR="002E675B" w:rsidRPr="00C316F8">
        <w:rPr>
          <w:rFonts w:eastAsia="Calibri" w:cstheme="minorHAnsi"/>
          <w:sz w:val="24"/>
          <w:szCs w:val="24"/>
          <w:lang w:val="es-CO"/>
        </w:rPr>
        <w:t xml:space="preserve"> Fuente, elaboración propia.</w:t>
      </w:r>
    </w:p>
    <w:p w14:paraId="4462C10B" w14:textId="77777777" w:rsidR="00646826" w:rsidRPr="00C316F8" w:rsidRDefault="00646826" w:rsidP="003B711F">
      <w:pPr>
        <w:jc w:val="both"/>
        <w:rPr>
          <w:rFonts w:cstheme="minorHAnsi"/>
          <w:kern w:val="2"/>
          <w:sz w:val="24"/>
          <w:szCs w:val="24"/>
          <w:lang w:val="es-CO"/>
        </w:rPr>
      </w:pPr>
    </w:p>
    <w:p w14:paraId="34EC0D27" w14:textId="77777777" w:rsidR="00844A82" w:rsidRPr="00C316F8" w:rsidRDefault="00844A82" w:rsidP="003B711F">
      <w:pPr>
        <w:jc w:val="both"/>
        <w:rPr>
          <w:rFonts w:eastAsia="Times New Roman" w:cstheme="minorHAnsi"/>
          <w:b/>
          <w:sz w:val="24"/>
          <w:szCs w:val="24"/>
          <w:lang w:val="es-CO"/>
          <w14:ligatures w14:val="none"/>
        </w:rPr>
      </w:pPr>
      <w:r w:rsidRPr="00C316F8">
        <w:rPr>
          <w:rFonts w:eastAsia="Times New Roman" w:cstheme="minorHAnsi"/>
          <w:b/>
          <w:sz w:val="24"/>
          <w:szCs w:val="24"/>
          <w:lang w:val="es-CO"/>
          <w14:ligatures w14:val="none"/>
        </w:rPr>
        <w:t>Distribución espacial y autocorrelación de las tasas de mortalidad por COVID-19 entre los municipios</w:t>
      </w:r>
    </w:p>
    <w:p w14:paraId="3CE560E4" w14:textId="77777777" w:rsidR="00844A82" w:rsidRPr="00C316F8" w:rsidRDefault="00844A82" w:rsidP="003B711F">
      <w:pPr>
        <w:jc w:val="both"/>
        <w:rPr>
          <w:rFonts w:eastAsia="Times New Roman" w:cstheme="minorHAnsi"/>
          <w:bCs/>
          <w:sz w:val="24"/>
          <w:szCs w:val="24"/>
          <w:lang w:val="es-CO"/>
          <w14:ligatures w14:val="none"/>
        </w:rPr>
      </w:pPr>
    </w:p>
    <w:p w14:paraId="7BCEE6CD" w14:textId="77777777" w:rsidR="00A61D31" w:rsidRPr="00C316F8" w:rsidRDefault="00A61D31" w:rsidP="003B711F">
      <w:pPr>
        <w:jc w:val="both"/>
        <w:rPr>
          <w:rFonts w:eastAsia="Calibri" w:cstheme="minorHAnsi"/>
          <w:sz w:val="24"/>
          <w:szCs w:val="24"/>
          <w:lang w:val="es-CO"/>
        </w:rPr>
      </w:pPr>
      <w:r w:rsidRPr="00C316F8">
        <w:rPr>
          <w:rFonts w:eastAsia="Calibri" w:cstheme="minorHAnsi"/>
          <w:sz w:val="24"/>
          <w:szCs w:val="24"/>
          <w:lang w:val="es-CO"/>
        </w:rPr>
        <w:t>El índice de Moran para los años analizados reveló una correlación espacial significativa entre los casos de COVID-19 en los municipios. Para el año 2020, el índice fue I = 0.3 con un valor p de 0.0001; para 2021, fue I = 0.27 con un valor p de 0.0001; y para 2022, fue I = 0.26 con un valor p de 0.0001.</w:t>
      </w:r>
    </w:p>
    <w:p w14:paraId="4B795331" w14:textId="77777777" w:rsidR="00A61D31" w:rsidRPr="00C316F8" w:rsidRDefault="00A61D31" w:rsidP="003B711F">
      <w:pPr>
        <w:jc w:val="both"/>
        <w:rPr>
          <w:rFonts w:eastAsia="Calibri" w:cstheme="minorHAnsi"/>
          <w:sz w:val="24"/>
          <w:szCs w:val="24"/>
          <w:lang w:val="es-CO"/>
        </w:rPr>
      </w:pPr>
    </w:p>
    <w:p w14:paraId="08794E01" w14:textId="0EF39C2E" w:rsidR="00A61D31" w:rsidRPr="00C316F8" w:rsidRDefault="00A61D31" w:rsidP="003B711F">
      <w:pPr>
        <w:jc w:val="both"/>
        <w:rPr>
          <w:rFonts w:eastAsia="Calibri" w:cstheme="minorHAnsi"/>
          <w:sz w:val="24"/>
          <w:szCs w:val="24"/>
          <w:lang w:val="es-CO"/>
        </w:rPr>
      </w:pPr>
      <w:r w:rsidRPr="00C316F8">
        <w:rPr>
          <w:rFonts w:eastAsia="Calibri" w:cstheme="minorHAnsi"/>
          <w:sz w:val="24"/>
          <w:szCs w:val="24"/>
          <w:lang w:val="es-CO"/>
        </w:rPr>
        <w:t xml:space="preserve">En el análisis de autocorrelación local, mediante la prueba de indicadores locales de asociación espacial (LISA), se observó que los municipios con altas tasas de mortalidad por COVID-19 se encuentran adyacentes a aquellos con un alto índice de pobreza multidimensional (HH). De igual manera, los municipios con bajas tasas de mortalidad por COVID-19 son contiguos a aquellos con un bajo índice de pobreza multidimensional (LL). Asimismo, se identificaron casos con bajas tasas de mortalidad por COVID-19 y alto índice de pobreza multidimensional (LH), así como altas tasas de mortalidad con bajo índice de pobreza multidimensional (HL). La categorización de los municipios en diferentes grupos con base en el tamaño poblacional, los ingresos corrientes libres de destinación específica y los patrones de agrupamiento espacial se presenta en la Tabla </w:t>
      </w:r>
      <w:r w:rsidR="001C413F" w:rsidRPr="00C316F8">
        <w:rPr>
          <w:rFonts w:eastAsia="Calibri" w:cstheme="minorHAnsi"/>
          <w:sz w:val="24"/>
          <w:szCs w:val="24"/>
          <w:lang w:val="es-CO"/>
        </w:rPr>
        <w:t>6</w:t>
      </w:r>
      <w:r w:rsidRPr="00C316F8">
        <w:rPr>
          <w:rFonts w:eastAsia="Calibri" w:cstheme="minorHAnsi"/>
          <w:sz w:val="24"/>
          <w:szCs w:val="24"/>
          <w:lang w:val="es-CO"/>
        </w:rPr>
        <w:t>.</w:t>
      </w:r>
    </w:p>
    <w:p w14:paraId="547A6502" w14:textId="77777777" w:rsidR="002E675B" w:rsidRPr="00C316F8" w:rsidRDefault="002E675B" w:rsidP="004F2FB2">
      <w:pPr>
        <w:pStyle w:val="Descripcin"/>
        <w:jc w:val="both"/>
        <w:rPr>
          <w:b/>
          <w:bCs/>
          <w:i w:val="0"/>
          <w:iCs w:val="0"/>
          <w:color w:val="auto"/>
          <w:sz w:val="24"/>
          <w:szCs w:val="24"/>
        </w:rPr>
      </w:pPr>
    </w:p>
    <w:p w14:paraId="5516F867" w14:textId="0DCA98EA" w:rsidR="004F2FB2" w:rsidRPr="00C316F8" w:rsidRDefault="004F2FB2" w:rsidP="004F2FB2">
      <w:pPr>
        <w:pStyle w:val="Descripcin"/>
        <w:jc w:val="both"/>
        <w:rPr>
          <w:rFonts w:eastAsia="Calibri" w:cstheme="minorHAnsi"/>
          <w:b/>
          <w:bCs/>
          <w:i w:val="0"/>
          <w:iCs w:val="0"/>
          <w:color w:val="auto"/>
          <w:sz w:val="24"/>
          <w:szCs w:val="24"/>
        </w:rPr>
      </w:pPr>
      <w:bookmarkStart w:id="51" w:name="_Toc229834694"/>
      <w:r w:rsidRPr="00C316F8">
        <w:rPr>
          <w:b/>
          <w:bCs/>
          <w:i w:val="0"/>
          <w:iCs w:val="0"/>
          <w:color w:val="auto"/>
          <w:sz w:val="24"/>
          <w:szCs w:val="24"/>
        </w:rPr>
        <w:lastRenderedPageBreak/>
        <w:t xml:space="preserve">Tabla </w:t>
      </w:r>
      <w:r w:rsidRPr="00C316F8">
        <w:rPr>
          <w:b/>
          <w:bCs/>
          <w:i w:val="0"/>
          <w:iCs w:val="0"/>
          <w:color w:val="auto"/>
          <w:sz w:val="24"/>
          <w:szCs w:val="24"/>
        </w:rPr>
        <w:fldChar w:fldCharType="begin"/>
      </w:r>
      <w:r w:rsidRPr="00C316F8">
        <w:rPr>
          <w:b/>
          <w:bCs/>
          <w:i w:val="0"/>
          <w:iCs w:val="0"/>
          <w:color w:val="auto"/>
          <w:sz w:val="24"/>
          <w:szCs w:val="24"/>
        </w:rPr>
        <w:instrText xml:space="preserve"> SEQ Tabla \* ARABIC </w:instrText>
      </w:r>
      <w:r w:rsidRPr="00C316F8">
        <w:rPr>
          <w:b/>
          <w:bCs/>
          <w:i w:val="0"/>
          <w:iCs w:val="0"/>
          <w:color w:val="auto"/>
          <w:sz w:val="24"/>
          <w:szCs w:val="24"/>
        </w:rPr>
        <w:fldChar w:fldCharType="separate"/>
      </w:r>
      <w:r w:rsidR="00432859" w:rsidRPr="00C316F8">
        <w:rPr>
          <w:b/>
          <w:bCs/>
          <w:i w:val="0"/>
          <w:iCs w:val="0"/>
          <w:noProof/>
          <w:color w:val="auto"/>
          <w:sz w:val="24"/>
          <w:szCs w:val="24"/>
        </w:rPr>
        <w:t>6</w:t>
      </w:r>
      <w:r w:rsidRPr="00C316F8">
        <w:rPr>
          <w:b/>
          <w:bCs/>
          <w:i w:val="0"/>
          <w:iCs w:val="0"/>
          <w:color w:val="auto"/>
          <w:sz w:val="24"/>
          <w:szCs w:val="24"/>
        </w:rPr>
        <w:fldChar w:fldCharType="end"/>
      </w:r>
      <w:r w:rsidRPr="00C316F8">
        <w:rPr>
          <w:b/>
          <w:bCs/>
          <w:i w:val="0"/>
          <w:iCs w:val="0"/>
          <w:color w:val="auto"/>
          <w:sz w:val="24"/>
          <w:szCs w:val="24"/>
        </w:rPr>
        <w:t>. Categorización de los municipios según tamaño poblacional, ingresos corrientes libres de destinación específica y patrones de agrupamiento espacial. Colombia, 2020–2022</w:t>
      </w:r>
      <w:bookmarkEnd w:id="51"/>
    </w:p>
    <w:p w14:paraId="3B3EF71F" w14:textId="0A914314" w:rsidR="009C085E" w:rsidRPr="00C316F8" w:rsidRDefault="009C085E" w:rsidP="00731D0F">
      <w:pPr>
        <w:pStyle w:val="Descripcin"/>
        <w:rPr>
          <w:rFonts w:asciiTheme="minorHAnsi" w:hAnsiTheme="minorHAnsi" w:cstheme="minorHAnsi"/>
          <w:color w:val="auto"/>
          <w:sz w:val="24"/>
          <w:szCs w:val="24"/>
        </w:rPr>
      </w:pPr>
    </w:p>
    <w:tbl>
      <w:tblPr>
        <w:tblW w:w="5000" w:type="pct"/>
        <w:tblCellMar>
          <w:left w:w="70" w:type="dxa"/>
          <w:right w:w="70" w:type="dxa"/>
        </w:tblCellMar>
        <w:tblLook w:val="04A0" w:firstRow="1" w:lastRow="0" w:firstColumn="1" w:lastColumn="0" w:noHBand="0" w:noVBand="1"/>
      </w:tblPr>
      <w:tblGrid>
        <w:gridCol w:w="2826"/>
        <w:gridCol w:w="719"/>
        <w:gridCol w:w="687"/>
        <w:gridCol w:w="182"/>
        <w:gridCol w:w="505"/>
        <w:gridCol w:w="653"/>
        <w:gridCol w:w="2361"/>
        <w:gridCol w:w="895"/>
      </w:tblGrid>
      <w:tr w:rsidR="009C085E" w:rsidRPr="00C316F8" w14:paraId="5424BCB3" w14:textId="77777777" w:rsidTr="001444F0">
        <w:trPr>
          <w:trHeight w:val="300"/>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99B414A"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2020</w:t>
            </w:r>
          </w:p>
        </w:tc>
      </w:tr>
      <w:tr w:rsidR="009C085E" w:rsidRPr="00C316F8" w14:paraId="758CCB20" w14:textId="77777777" w:rsidTr="001444F0">
        <w:trPr>
          <w:trHeight w:val="300"/>
        </w:trPr>
        <w:tc>
          <w:tcPr>
            <w:tcW w:w="2500" w:type="pct"/>
            <w:gridSpan w:val="4"/>
            <w:tcBorders>
              <w:top w:val="nil"/>
              <w:left w:val="single" w:sz="4" w:space="0" w:color="auto"/>
              <w:bottom w:val="single" w:sz="4" w:space="0" w:color="auto"/>
              <w:right w:val="single" w:sz="4" w:space="0" w:color="auto"/>
            </w:tcBorders>
            <w:shd w:val="clear" w:color="auto" w:fill="auto"/>
            <w:noWrap/>
            <w:vAlign w:val="bottom"/>
          </w:tcPr>
          <w:p w14:paraId="206812F2" w14:textId="77777777" w:rsidR="009C085E" w:rsidRPr="00C316F8" w:rsidRDefault="009C085E" w:rsidP="003B711F">
            <w:pPr>
              <w:jc w:val="both"/>
              <w:rPr>
                <w:rFonts w:eastAsia="Times New Roman" w:cstheme="minorHAnsi"/>
                <w:color w:val="000000"/>
                <w:sz w:val="24"/>
                <w:szCs w:val="24"/>
                <w:lang w:eastAsia="es-CO"/>
                <w14:ligatures w14:val="none"/>
              </w:rPr>
            </w:pPr>
            <w:bookmarkStart w:id="52" w:name="_Hlk180848687"/>
            <w:r w:rsidRPr="00C316F8">
              <w:rPr>
                <w:rFonts w:cstheme="minorHAnsi"/>
                <w:sz w:val="24"/>
                <w:szCs w:val="24"/>
              </w:rPr>
              <w:t xml:space="preserve">Moran Index </w:t>
            </w:r>
          </w:p>
        </w:tc>
        <w:tc>
          <w:tcPr>
            <w:tcW w:w="2500" w:type="pct"/>
            <w:gridSpan w:val="4"/>
            <w:tcBorders>
              <w:top w:val="nil"/>
              <w:left w:val="single" w:sz="4" w:space="0" w:color="auto"/>
              <w:bottom w:val="single" w:sz="4" w:space="0" w:color="auto"/>
              <w:right w:val="single" w:sz="4" w:space="0" w:color="auto"/>
            </w:tcBorders>
            <w:shd w:val="clear" w:color="auto" w:fill="auto"/>
            <w:vAlign w:val="bottom"/>
          </w:tcPr>
          <w:p w14:paraId="53AB815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cstheme="minorHAnsi"/>
                <w:sz w:val="24"/>
                <w:szCs w:val="24"/>
              </w:rPr>
              <w:t>I = 0.3 p=0.0001</w:t>
            </w:r>
          </w:p>
        </w:tc>
      </w:tr>
      <w:bookmarkEnd w:id="52"/>
      <w:tr w:rsidR="009C085E" w:rsidRPr="00C316F8" w14:paraId="18201608"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35598E8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Municipal category</w:t>
            </w:r>
          </w:p>
        </w:tc>
        <w:tc>
          <w:tcPr>
            <w:tcW w:w="407" w:type="pct"/>
            <w:tcBorders>
              <w:top w:val="nil"/>
              <w:left w:val="nil"/>
              <w:bottom w:val="single" w:sz="4" w:space="0" w:color="auto"/>
              <w:right w:val="single" w:sz="4" w:space="0" w:color="auto"/>
            </w:tcBorders>
            <w:shd w:val="clear" w:color="auto" w:fill="auto"/>
            <w:noWrap/>
            <w:vAlign w:val="bottom"/>
            <w:hideMark/>
          </w:tcPr>
          <w:p w14:paraId="47BC925A"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H-H</w:t>
            </w:r>
          </w:p>
        </w:tc>
        <w:tc>
          <w:tcPr>
            <w:tcW w:w="389" w:type="pct"/>
            <w:tcBorders>
              <w:top w:val="nil"/>
              <w:left w:val="nil"/>
              <w:bottom w:val="single" w:sz="4" w:space="0" w:color="auto"/>
              <w:right w:val="single" w:sz="4" w:space="0" w:color="auto"/>
            </w:tcBorders>
            <w:shd w:val="clear" w:color="auto" w:fill="auto"/>
            <w:noWrap/>
            <w:vAlign w:val="bottom"/>
            <w:hideMark/>
          </w:tcPr>
          <w:p w14:paraId="284755F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H-L</w:t>
            </w:r>
          </w:p>
        </w:tc>
        <w:tc>
          <w:tcPr>
            <w:tcW w:w="389" w:type="pct"/>
            <w:gridSpan w:val="2"/>
            <w:tcBorders>
              <w:top w:val="nil"/>
              <w:left w:val="nil"/>
              <w:bottom w:val="single" w:sz="4" w:space="0" w:color="auto"/>
              <w:right w:val="single" w:sz="4" w:space="0" w:color="auto"/>
            </w:tcBorders>
            <w:shd w:val="clear" w:color="auto" w:fill="auto"/>
            <w:noWrap/>
            <w:vAlign w:val="bottom"/>
          </w:tcPr>
          <w:p w14:paraId="53B9EBAD"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L-H</w:t>
            </w:r>
          </w:p>
        </w:tc>
        <w:tc>
          <w:tcPr>
            <w:tcW w:w="370" w:type="pct"/>
            <w:tcBorders>
              <w:top w:val="nil"/>
              <w:left w:val="nil"/>
              <w:bottom w:val="single" w:sz="4" w:space="0" w:color="auto"/>
              <w:right w:val="single" w:sz="4" w:space="0" w:color="auto"/>
            </w:tcBorders>
            <w:shd w:val="clear" w:color="auto" w:fill="auto"/>
            <w:noWrap/>
            <w:vAlign w:val="bottom"/>
            <w:hideMark/>
          </w:tcPr>
          <w:p w14:paraId="1E932ADC"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L-L</w:t>
            </w:r>
          </w:p>
        </w:tc>
        <w:tc>
          <w:tcPr>
            <w:tcW w:w="1337" w:type="pct"/>
            <w:tcBorders>
              <w:top w:val="nil"/>
              <w:left w:val="nil"/>
              <w:bottom w:val="single" w:sz="4" w:space="0" w:color="auto"/>
              <w:right w:val="single" w:sz="4" w:space="0" w:color="auto"/>
            </w:tcBorders>
            <w:shd w:val="clear" w:color="auto" w:fill="auto"/>
            <w:noWrap/>
            <w:vAlign w:val="bottom"/>
            <w:hideMark/>
          </w:tcPr>
          <w:p w14:paraId="0EDFF9B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Not significance</w:t>
            </w:r>
          </w:p>
        </w:tc>
        <w:tc>
          <w:tcPr>
            <w:tcW w:w="507" w:type="pct"/>
            <w:tcBorders>
              <w:top w:val="nil"/>
              <w:left w:val="nil"/>
              <w:bottom w:val="single" w:sz="4" w:space="0" w:color="auto"/>
              <w:right w:val="single" w:sz="4" w:space="0" w:color="auto"/>
            </w:tcBorders>
            <w:shd w:val="clear" w:color="auto" w:fill="auto"/>
            <w:noWrap/>
            <w:vAlign w:val="bottom"/>
            <w:hideMark/>
          </w:tcPr>
          <w:p w14:paraId="417A9E84"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Total</w:t>
            </w:r>
          </w:p>
        </w:tc>
      </w:tr>
      <w:tr w:rsidR="009C085E" w:rsidRPr="00C316F8" w14:paraId="004880AF"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21F9EFD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Spetial category</w:t>
            </w:r>
          </w:p>
        </w:tc>
        <w:tc>
          <w:tcPr>
            <w:tcW w:w="407" w:type="pct"/>
            <w:tcBorders>
              <w:top w:val="nil"/>
              <w:left w:val="nil"/>
              <w:bottom w:val="single" w:sz="4" w:space="0" w:color="auto"/>
              <w:right w:val="single" w:sz="4" w:space="0" w:color="auto"/>
            </w:tcBorders>
            <w:shd w:val="clear" w:color="auto" w:fill="auto"/>
            <w:noWrap/>
            <w:vAlign w:val="bottom"/>
            <w:hideMark/>
          </w:tcPr>
          <w:p w14:paraId="0C73217D"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89" w:type="pct"/>
            <w:tcBorders>
              <w:top w:val="nil"/>
              <w:left w:val="nil"/>
              <w:bottom w:val="single" w:sz="4" w:space="0" w:color="auto"/>
              <w:right w:val="single" w:sz="4" w:space="0" w:color="auto"/>
            </w:tcBorders>
            <w:shd w:val="clear" w:color="auto" w:fill="auto"/>
            <w:noWrap/>
            <w:vAlign w:val="bottom"/>
            <w:hideMark/>
          </w:tcPr>
          <w:p w14:paraId="37D8811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07DD308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70" w:type="pct"/>
            <w:tcBorders>
              <w:top w:val="nil"/>
              <w:left w:val="nil"/>
              <w:bottom w:val="single" w:sz="4" w:space="0" w:color="auto"/>
              <w:right w:val="single" w:sz="4" w:space="0" w:color="auto"/>
            </w:tcBorders>
            <w:shd w:val="clear" w:color="auto" w:fill="auto"/>
            <w:noWrap/>
            <w:vAlign w:val="bottom"/>
            <w:hideMark/>
          </w:tcPr>
          <w:p w14:paraId="4B9BE82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1337" w:type="pct"/>
            <w:tcBorders>
              <w:top w:val="nil"/>
              <w:left w:val="nil"/>
              <w:bottom w:val="single" w:sz="4" w:space="0" w:color="auto"/>
              <w:right w:val="single" w:sz="4" w:space="0" w:color="auto"/>
            </w:tcBorders>
            <w:shd w:val="clear" w:color="auto" w:fill="auto"/>
            <w:noWrap/>
            <w:vAlign w:val="bottom"/>
            <w:hideMark/>
          </w:tcPr>
          <w:p w14:paraId="3726586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507" w:type="pct"/>
            <w:tcBorders>
              <w:top w:val="nil"/>
              <w:left w:val="nil"/>
              <w:bottom w:val="single" w:sz="4" w:space="0" w:color="auto"/>
              <w:right w:val="single" w:sz="4" w:space="0" w:color="auto"/>
            </w:tcBorders>
            <w:shd w:val="clear" w:color="auto" w:fill="auto"/>
            <w:noWrap/>
            <w:vAlign w:val="bottom"/>
            <w:hideMark/>
          </w:tcPr>
          <w:p w14:paraId="551ACD7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7</w:t>
            </w:r>
          </w:p>
        </w:tc>
      </w:tr>
      <w:tr w:rsidR="009C085E" w:rsidRPr="00C316F8" w14:paraId="732CF793"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787D6D1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1</w:t>
            </w:r>
          </w:p>
        </w:tc>
        <w:tc>
          <w:tcPr>
            <w:tcW w:w="407" w:type="pct"/>
            <w:tcBorders>
              <w:top w:val="nil"/>
              <w:left w:val="nil"/>
              <w:bottom w:val="single" w:sz="4" w:space="0" w:color="auto"/>
              <w:right w:val="single" w:sz="4" w:space="0" w:color="auto"/>
            </w:tcBorders>
            <w:shd w:val="clear" w:color="auto" w:fill="auto"/>
            <w:noWrap/>
            <w:vAlign w:val="bottom"/>
            <w:hideMark/>
          </w:tcPr>
          <w:p w14:paraId="7ED03D43"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389" w:type="pct"/>
            <w:tcBorders>
              <w:top w:val="nil"/>
              <w:left w:val="nil"/>
              <w:bottom w:val="single" w:sz="4" w:space="0" w:color="auto"/>
              <w:right w:val="single" w:sz="4" w:space="0" w:color="auto"/>
            </w:tcBorders>
            <w:shd w:val="clear" w:color="auto" w:fill="auto"/>
            <w:noWrap/>
            <w:vAlign w:val="bottom"/>
            <w:hideMark/>
          </w:tcPr>
          <w:p w14:paraId="15CB3D7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22</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31009C2C"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70" w:type="pct"/>
            <w:tcBorders>
              <w:top w:val="nil"/>
              <w:left w:val="nil"/>
              <w:bottom w:val="single" w:sz="4" w:space="0" w:color="auto"/>
              <w:right w:val="single" w:sz="4" w:space="0" w:color="auto"/>
            </w:tcBorders>
            <w:shd w:val="clear" w:color="auto" w:fill="auto"/>
            <w:noWrap/>
            <w:vAlign w:val="bottom"/>
            <w:hideMark/>
          </w:tcPr>
          <w:p w14:paraId="7F741D7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1337" w:type="pct"/>
            <w:tcBorders>
              <w:top w:val="nil"/>
              <w:left w:val="nil"/>
              <w:bottom w:val="single" w:sz="4" w:space="0" w:color="auto"/>
              <w:right w:val="single" w:sz="4" w:space="0" w:color="auto"/>
            </w:tcBorders>
            <w:shd w:val="clear" w:color="auto" w:fill="auto"/>
            <w:noWrap/>
            <w:vAlign w:val="bottom"/>
            <w:hideMark/>
          </w:tcPr>
          <w:p w14:paraId="249A99F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507" w:type="pct"/>
            <w:tcBorders>
              <w:top w:val="nil"/>
              <w:left w:val="nil"/>
              <w:bottom w:val="single" w:sz="4" w:space="0" w:color="auto"/>
              <w:right w:val="single" w:sz="4" w:space="0" w:color="auto"/>
            </w:tcBorders>
            <w:shd w:val="clear" w:color="auto" w:fill="auto"/>
            <w:noWrap/>
            <w:vAlign w:val="bottom"/>
            <w:hideMark/>
          </w:tcPr>
          <w:p w14:paraId="5A11AD2A"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34</w:t>
            </w:r>
          </w:p>
        </w:tc>
      </w:tr>
      <w:tr w:rsidR="009C085E" w:rsidRPr="00C316F8" w14:paraId="64F231C2"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1F22C20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2</w:t>
            </w:r>
          </w:p>
        </w:tc>
        <w:tc>
          <w:tcPr>
            <w:tcW w:w="407" w:type="pct"/>
            <w:tcBorders>
              <w:top w:val="nil"/>
              <w:left w:val="nil"/>
              <w:bottom w:val="single" w:sz="4" w:space="0" w:color="auto"/>
              <w:right w:val="single" w:sz="4" w:space="0" w:color="auto"/>
            </w:tcBorders>
            <w:shd w:val="clear" w:color="auto" w:fill="auto"/>
            <w:noWrap/>
            <w:vAlign w:val="bottom"/>
            <w:hideMark/>
          </w:tcPr>
          <w:p w14:paraId="1379871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389" w:type="pct"/>
            <w:tcBorders>
              <w:top w:val="nil"/>
              <w:left w:val="nil"/>
              <w:bottom w:val="single" w:sz="4" w:space="0" w:color="auto"/>
              <w:right w:val="single" w:sz="4" w:space="0" w:color="auto"/>
            </w:tcBorders>
            <w:shd w:val="clear" w:color="auto" w:fill="auto"/>
            <w:noWrap/>
            <w:vAlign w:val="bottom"/>
            <w:hideMark/>
          </w:tcPr>
          <w:p w14:paraId="3840585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15</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178908E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70" w:type="pct"/>
            <w:tcBorders>
              <w:top w:val="nil"/>
              <w:left w:val="nil"/>
              <w:bottom w:val="single" w:sz="4" w:space="0" w:color="auto"/>
              <w:right w:val="single" w:sz="4" w:space="0" w:color="auto"/>
            </w:tcBorders>
            <w:shd w:val="clear" w:color="auto" w:fill="auto"/>
            <w:noWrap/>
            <w:vAlign w:val="bottom"/>
            <w:hideMark/>
          </w:tcPr>
          <w:p w14:paraId="7F27217D"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w:t>
            </w:r>
          </w:p>
        </w:tc>
        <w:tc>
          <w:tcPr>
            <w:tcW w:w="1337" w:type="pct"/>
            <w:tcBorders>
              <w:top w:val="nil"/>
              <w:left w:val="nil"/>
              <w:bottom w:val="single" w:sz="4" w:space="0" w:color="auto"/>
              <w:right w:val="single" w:sz="4" w:space="0" w:color="auto"/>
            </w:tcBorders>
            <w:shd w:val="clear" w:color="auto" w:fill="auto"/>
            <w:noWrap/>
            <w:vAlign w:val="bottom"/>
            <w:hideMark/>
          </w:tcPr>
          <w:p w14:paraId="1B3CB29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w:t>
            </w:r>
          </w:p>
        </w:tc>
        <w:tc>
          <w:tcPr>
            <w:tcW w:w="507" w:type="pct"/>
            <w:tcBorders>
              <w:top w:val="nil"/>
              <w:left w:val="nil"/>
              <w:bottom w:val="single" w:sz="4" w:space="0" w:color="auto"/>
              <w:right w:val="single" w:sz="4" w:space="0" w:color="auto"/>
            </w:tcBorders>
            <w:shd w:val="clear" w:color="auto" w:fill="auto"/>
            <w:noWrap/>
            <w:vAlign w:val="bottom"/>
            <w:hideMark/>
          </w:tcPr>
          <w:p w14:paraId="029D3B2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21</w:t>
            </w:r>
          </w:p>
        </w:tc>
      </w:tr>
      <w:tr w:rsidR="009C085E" w:rsidRPr="00C316F8" w14:paraId="04FEC5D7"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3A6BD85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3</w:t>
            </w:r>
          </w:p>
        </w:tc>
        <w:tc>
          <w:tcPr>
            <w:tcW w:w="407" w:type="pct"/>
            <w:tcBorders>
              <w:top w:val="nil"/>
              <w:left w:val="nil"/>
              <w:bottom w:val="single" w:sz="4" w:space="0" w:color="auto"/>
              <w:right w:val="single" w:sz="4" w:space="0" w:color="auto"/>
            </w:tcBorders>
            <w:shd w:val="clear" w:color="auto" w:fill="auto"/>
            <w:noWrap/>
            <w:vAlign w:val="bottom"/>
            <w:hideMark/>
          </w:tcPr>
          <w:p w14:paraId="56574B8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89" w:type="pct"/>
            <w:tcBorders>
              <w:top w:val="nil"/>
              <w:left w:val="nil"/>
              <w:bottom w:val="single" w:sz="4" w:space="0" w:color="auto"/>
              <w:right w:val="single" w:sz="4" w:space="0" w:color="auto"/>
            </w:tcBorders>
            <w:shd w:val="clear" w:color="auto" w:fill="auto"/>
            <w:noWrap/>
            <w:vAlign w:val="bottom"/>
            <w:hideMark/>
          </w:tcPr>
          <w:p w14:paraId="6DFA918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13</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40ACD29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70" w:type="pct"/>
            <w:tcBorders>
              <w:top w:val="nil"/>
              <w:left w:val="nil"/>
              <w:bottom w:val="single" w:sz="4" w:space="0" w:color="auto"/>
              <w:right w:val="single" w:sz="4" w:space="0" w:color="auto"/>
            </w:tcBorders>
            <w:shd w:val="clear" w:color="auto" w:fill="auto"/>
            <w:noWrap/>
            <w:vAlign w:val="bottom"/>
            <w:hideMark/>
          </w:tcPr>
          <w:p w14:paraId="4116A9EA"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1337" w:type="pct"/>
            <w:tcBorders>
              <w:top w:val="nil"/>
              <w:left w:val="nil"/>
              <w:bottom w:val="single" w:sz="4" w:space="0" w:color="auto"/>
              <w:right w:val="single" w:sz="4" w:space="0" w:color="auto"/>
            </w:tcBorders>
            <w:shd w:val="clear" w:color="auto" w:fill="auto"/>
            <w:noWrap/>
            <w:vAlign w:val="bottom"/>
            <w:hideMark/>
          </w:tcPr>
          <w:p w14:paraId="1D815A6A"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507" w:type="pct"/>
            <w:tcBorders>
              <w:top w:val="nil"/>
              <w:left w:val="nil"/>
              <w:bottom w:val="single" w:sz="4" w:space="0" w:color="auto"/>
              <w:right w:val="single" w:sz="4" w:space="0" w:color="auto"/>
            </w:tcBorders>
            <w:shd w:val="clear" w:color="auto" w:fill="auto"/>
            <w:noWrap/>
            <w:vAlign w:val="bottom"/>
            <w:hideMark/>
          </w:tcPr>
          <w:p w14:paraId="0676574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21</w:t>
            </w:r>
          </w:p>
        </w:tc>
      </w:tr>
      <w:tr w:rsidR="009C085E" w:rsidRPr="00C316F8" w14:paraId="54980BB5"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3CF87F6E"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4</w:t>
            </w:r>
          </w:p>
        </w:tc>
        <w:tc>
          <w:tcPr>
            <w:tcW w:w="407" w:type="pct"/>
            <w:tcBorders>
              <w:top w:val="nil"/>
              <w:left w:val="nil"/>
              <w:bottom w:val="single" w:sz="4" w:space="0" w:color="auto"/>
              <w:right w:val="single" w:sz="4" w:space="0" w:color="auto"/>
            </w:tcBorders>
            <w:shd w:val="clear" w:color="auto" w:fill="auto"/>
            <w:noWrap/>
            <w:vAlign w:val="bottom"/>
            <w:hideMark/>
          </w:tcPr>
          <w:p w14:paraId="243D6CE3"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389" w:type="pct"/>
            <w:tcBorders>
              <w:top w:val="nil"/>
              <w:left w:val="nil"/>
              <w:bottom w:val="single" w:sz="4" w:space="0" w:color="auto"/>
              <w:right w:val="single" w:sz="4" w:space="0" w:color="auto"/>
            </w:tcBorders>
            <w:shd w:val="clear" w:color="auto" w:fill="auto"/>
            <w:noWrap/>
            <w:vAlign w:val="bottom"/>
            <w:hideMark/>
          </w:tcPr>
          <w:p w14:paraId="638716B5"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507EFA3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370" w:type="pct"/>
            <w:tcBorders>
              <w:top w:val="nil"/>
              <w:left w:val="nil"/>
              <w:bottom w:val="single" w:sz="4" w:space="0" w:color="auto"/>
              <w:right w:val="single" w:sz="4" w:space="0" w:color="auto"/>
            </w:tcBorders>
            <w:shd w:val="clear" w:color="auto" w:fill="auto"/>
            <w:noWrap/>
            <w:vAlign w:val="bottom"/>
            <w:hideMark/>
          </w:tcPr>
          <w:p w14:paraId="3251EF5E"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1337" w:type="pct"/>
            <w:tcBorders>
              <w:top w:val="nil"/>
              <w:left w:val="nil"/>
              <w:bottom w:val="single" w:sz="4" w:space="0" w:color="auto"/>
              <w:right w:val="single" w:sz="4" w:space="0" w:color="auto"/>
            </w:tcBorders>
            <w:shd w:val="clear" w:color="auto" w:fill="auto"/>
            <w:noWrap/>
            <w:vAlign w:val="bottom"/>
            <w:hideMark/>
          </w:tcPr>
          <w:p w14:paraId="0C58A565"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507" w:type="pct"/>
            <w:tcBorders>
              <w:top w:val="nil"/>
              <w:left w:val="nil"/>
              <w:bottom w:val="single" w:sz="4" w:space="0" w:color="auto"/>
              <w:right w:val="single" w:sz="4" w:space="0" w:color="auto"/>
            </w:tcBorders>
            <w:shd w:val="clear" w:color="auto" w:fill="auto"/>
            <w:noWrap/>
            <w:vAlign w:val="bottom"/>
            <w:hideMark/>
          </w:tcPr>
          <w:p w14:paraId="3FCDC8A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24</w:t>
            </w:r>
          </w:p>
        </w:tc>
      </w:tr>
      <w:tr w:rsidR="009C085E" w:rsidRPr="00C316F8" w14:paraId="41686004"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6805F27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5</w:t>
            </w:r>
          </w:p>
        </w:tc>
        <w:tc>
          <w:tcPr>
            <w:tcW w:w="407" w:type="pct"/>
            <w:tcBorders>
              <w:top w:val="nil"/>
              <w:left w:val="nil"/>
              <w:bottom w:val="single" w:sz="4" w:space="0" w:color="auto"/>
              <w:right w:val="single" w:sz="4" w:space="0" w:color="auto"/>
            </w:tcBorders>
            <w:shd w:val="clear" w:color="auto" w:fill="auto"/>
            <w:noWrap/>
            <w:vAlign w:val="bottom"/>
            <w:hideMark/>
          </w:tcPr>
          <w:p w14:paraId="4732FB7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w:t>
            </w:r>
          </w:p>
        </w:tc>
        <w:tc>
          <w:tcPr>
            <w:tcW w:w="389" w:type="pct"/>
            <w:tcBorders>
              <w:top w:val="nil"/>
              <w:left w:val="nil"/>
              <w:bottom w:val="single" w:sz="4" w:space="0" w:color="auto"/>
              <w:right w:val="single" w:sz="4" w:space="0" w:color="auto"/>
            </w:tcBorders>
            <w:shd w:val="clear" w:color="auto" w:fill="auto"/>
            <w:noWrap/>
            <w:vAlign w:val="bottom"/>
            <w:hideMark/>
          </w:tcPr>
          <w:p w14:paraId="09E7093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17</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7F5825F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370" w:type="pct"/>
            <w:tcBorders>
              <w:top w:val="nil"/>
              <w:left w:val="nil"/>
              <w:bottom w:val="single" w:sz="4" w:space="0" w:color="auto"/>
              <w:right w:val="single" w:sz="4" w:space="0" w:color="auto"/>
            </w:tcBorders>
            <w:shd w:val="clear" w:color="auto" w:fill="auto"/>
            <w:noWrap/>
            <w:vAlign w:val="bottom"/>
            <w:hideMark/>
          </w:tcPr>
          <w:p w14:paraId="73B46E8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1337" w:type="pct"/>
            <w:tcBorders>
              <w:top w:val="nil"/>
              <w:left w:val="nil"/>
              <w:bottom w:val="single" w:sz="4" w:space="0" w:color="auto"/>
              <w:right w:val="single" w:sz="4" w:space="0" w:color="auto"/>
            </w:tcBorders>
            <w:shd w:val="clear" w:color="auto" w:fill="auto"/>
            <w:noWrap/>
            <w:vAlign w:val="bottom"/>
            <w:hideMark/>
          </w:tcPr>
          <w:p w14:paraId="6C014B7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14</w:t>
            </w:r>
          </w:p>
        </w:tc>
        <w:tc>
          <w:tcPr>
            <w:tcW w:w="507" w:type="pct"/>
            <w:tcBorders>
              <w:top w:val="nil"/>
              <w:left w:val="nil"/>
              <w:bottom w:val="single" w:sz="4" w:space="0" w:color="auto"/>
              <w:right w:val="single" w:sz="4" w:space="0" w:color="auto"/>
            </w:tcBorders>
            <w:shd w:val="clear" w:color="auto" w:fill="auto"/>
            <w:noWrap/>
            <w:vAlign w:val="bottom"/>
            <w:hideMark/>
          </w:tcPr>
          <w:p w14:paraId="08B9226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41</w:t>
            </w:r>
          </w:p>
        </w:tc>
      </w:tr>
      <w:tr w:rsidR="009C085E" w:rsidRPr="00C316F8" w14:paraId="72F55BD6"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5C385A8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6</w:t>
            </w:r>
          </w:p>
        </w:tc>
        <w:tc>
          <w:tcPr>
            <w:tcW w:w="407" w:type="pct"/>
            <w:tcBorders>
              <w:top w:val="nil"/>
              <w:left w:val="nil"/>
              <w:bottom w:val="single" w:sz="4" w:space="0" w:color="auto"/>
              <w:right w:val="single" w:sz="4" w:space="0" w:color="auto"/>
            </w:tcBorders>
            <w:shd w:val="clear" w:color="auto" w:fill="auto"/>
            <w:noWrap/>
            <w:vAlign w:val="bottom"/>
            <w:hideMark/>
          </w:tcPr>
          <w:p w14:paraId="78F7095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34</w:t>
            </w:r>
          </w:p>
        </w:tc>
        <w:tc>
          <w:tcPr>
            <w:tcW w:w="389" w:type="pct"/>
            <w:tcBorders>
              <w:top w:val="nil"/>
              <w:left w:val="nil"/>
              <w:bottom w:val="single" w:sz="4" w:space="0" w:color="auto"/>
              <w:right w:val="single" w:sz="4" w:space="0" w:color="auto"/>
            </w:tcBorders>
            <w:shd w:val="clear" w:color="auto" w:fill="auto"/>
            <w:noWrap/>
            <w:vAlign w:val="bottom"/>
            <w:hideMark/>
          </w:tcPr>
          <w:p w14:paraId="382F712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47</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0F14D7E3"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128</w:t>
            </w:r>
          </w:p>
        </w:tc>
        <w:tc>
          <w:tcPr>
            <w:tcW w:w="370" w:type="pct"/>
            <w:tcBorders>
              <w:top w:val="nil"/>
              <w:left w:val="nil"/>
              <w:bottom w:val="single" w:sz="4" w:space="0" w:color="auto"/>
              <w:right w:val="single" w:sz="4" w:space="0" w:color="auto"/>
            </w:tcBorders>
            <w:shd w:val="clear" w:color="auto" w:fill="auto"/>
            <w:noWrap/>
            <w:vAlign w:val="bottom"/>
            <w:hideMark/>
          </w:tcPr>
          <w:p w14:paraId="2DAAD67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81</w:t>
            </w:r>
          </w:p>
        </w:tc>
        <w:tc>
          <w:tcPr>
            <w:tcW w:w="1337" w:type="pct"/>
            <w:tcBorders>
              <w:top w:val="nil"/>
              <w:left w:val="nil"/>
              <w:bottom w:val="single" w:sz="4" w:space="0" w:color="auto"/>
              <w:right w:val="single" w:sz="4" w:space="0" w:color="auto"/>
            </w:tcBorders>
            <w:shd w:val="clear" w:color="auto" w:fill="auto"/>
            <w:noWrap/>
            <w:vAlign w:val="bottom"/>
            <w:hideMark/>
          </w:tcPr>
          <w:p w14:paraId="0DF2532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528</w:t>
            </w:r>
          </w:p>
        </w:tc>
        <w:tc>
          <w:tcPr>
            <w:tcW w:w="507" w:type="pct"/>
            <w:tcBorders>
              <w:top w:val="nil"/>
              <w:left w:val="nil"/>
              <w:bottom w:val="single" w:sz="4" w:space="0" w:color="auto"/>
              <w:right w:val="single" w:sz="4" w:space="0" w:color="auto"/>
            </w:tcBorders>
            <w:shd w:val="clear" w:color="auto" w:fill="auto"/>
            <w:noWrap/>
            <w:vAlign w:val="bottom"/>
            <w:hideMark/>
          </w:tcPr>
          <w:p w14:paraId="246C89F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818</w:t>
            </w:r>
          </w:p>
        </w:tc>
      </w:tr>
      <w:tr w:rsidR="009C085E" w:rsidRPr="00C316F8" w14:paraId="5B4F0024"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49D106C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Total</w:t>
            </w:r>
          </w:p>
        </w:tc>
        <w:tc>
          <w:tcPr>
            <w:tcW w:w="407" w:type="pct"/>
            <w:tcBorders>
              <w:top w:val="nil"/>
              <w:left w:val="nil"/>
              <w:bottom w:val="single" w:sz="4" w:space="0" w:color="auto"/>
              <w:right w:val="single" w:sz="4" w:space="0" w:color="auto"/>
            </w:tcBorders>
            <w:shd w:val="clear" w:color="auto" w:fill="auto"/>
            <w:noWrap/>
            <w:vAlign w:val="bottom"/>
            <w:hideMark/>
          </w:tcPr>
          <w:p w14:paraId="72FE82DE"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43</w:t>
            </w:r>
          </w:p>
        </w:tc>
        <w:tc>
          <w:tcPr>
            <w:tcW w:w="389" w:type="pct"/>
            <w:tcBorders>
              <w:top w:val="nil"/>
              <w:left w:val="nil"/>
              <w:bottom w:val="single" w:sz="4" w:space="0" w:color="auto"/>
              <w:right w:val="single" w:sz="4" w:space="0" w:color="auto"/>
            </w:tcBorders>
            <w:shd w:val="clear" w:color="auto" w:fill="auto"/>
            <w:noWrap/>
            <w:vAlign w:val="bottom"/>
            <w:hideMark/>
          </w:tcPr>
          <w:p w14:paraId="28EF78C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125</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05F96D7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133</w:t>
            </w:r>
          </w:p>
        </w:tc>
        <w:tc>
          <w:tcPr>
            <w:tcW w:w="370" w:type="pct"/>
            <w:tcBorders>
              <w:top w:val="nil"/>
              <w:left w:val="nil"/>
              <w:bottom w:val="single" w:sz="4" w:space="0" w:color="auto"/>
              <w:right w:val="single" w:sz="4" w:space="0" w:color="auto"/>
            </w:tcBorders>
            <w:shd w:val="clear" w:color="auto" w:fill="auto"/>
            <w:noWrap/>
            <w:vAlign w:val="bottom"/>
            <w:hideMark/>
          </w:tcPr>
          <w:p w14:paraId="4CEA56A3"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93</w:t>
            </w:r>
          </w:p>
        </w:tc>
        <w:tc>
          <w:tcPr>
            <w:tcW w:w="1337" w:type="pct"/>
            <w:tcBorders>
              <w:top w:val="nil"/>
              <w:left w:val="nil"/>
              <w:bottom w:val="single" w:sz="4" w:space="0" w:color="auto"/>
              <w:right w:val="single" w:sz="4" w:space="0" w:color="auto"/>
            </w:tcBorders>
            <w:shd w:val="clear" w:color="auto" w:fill="auto"/>
            <w:noWrap/>
            <w:vAlign w:val="bottom"/>
            <w:hideMark/>
          </w:tcPr>
          <w:p w14:paraId="550A793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572</w:t>
            </w:r>
          </w:p>
        </w:tc>
        <w:tc>
          <w:tcPr>
            <w:tcW w:w="507" w:type="pct"/>
            <w:tcBorders>
              <w:top w:val="nil"/>
              <w:left w:val="nil"/>
              <w:bottom w:val="single" w:sz="4" w:space="0" w:color="auto"/>
              <w:right w:val="single" w:sz="4" w:space="0" w:color="auto"/>
            </w:tcBorders>
            <w:shd w:val="clear" w:color="auto" w:fill="auto"/>
            <w:noWrap/>
            <w:vAlign w:val="bottom"/>
            <w:hideMark/>
          </w:tcPr>
          <w:p w14:paraId="0DD9103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966</w:t>
            </w:r>
          </w:p>
        </w:tc>
      </w:tr>
      <w:tr w:rsidR="009C085E" w:rsidRPr="00C316F8" w14:paraId="2AEEA4D4" w14:textId="77777777" w:rsidTr="001444F0">
        <w:trPr>
          <w:trHeight w:val="610"/>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0C544D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2021</w:t>
            </w:r>
          </w:p>
        </w:tc>
      </w:tr>
      <w:tr w:rsidR="009C085E" w:rsidRPr="00C316F8" w14:paraId="05E8EBDB" w14:textId="77777777" w:rsidTr="001444F0">
        <w:trPr>
          <w:trHeight w:val="300"/>
        </w:trPr>
        <w:tc>
          <w:tcPr>
            <w:tcW w:w="2500" w:type="pct"/>
            <w:gridSpan w:val="4"/>
            <w:tcBorders>
              <w:top w:val="nil"/>
              <w:left w:val="single" w:sz="4" w:space="0" w:color="auto"/>
              <w:bottom w:val="single" w:sz="4" w:space="0" w:color="auto"/>
              <w:right w:val="single" w:sz="4" w:space="0" w:color="auto"/>
            </w:tcBorders>
            <w:shd w:val="clear" w:color="auto" w:fill="auto"/>
            <w:noWrap/>
            <w:vAlign w:val="bottom"/>
          </w:tcPr>
          <w:p w14:paraId="20361FC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cstheme="minorHAnsi"/>
                <w:sz w:val="24"/>
                <w:szCs w:val="24"/>
              </w:rPr>
              <w:t xml:space="preserve">Moran Index </w:t>
            </w:r>
          </w:p>
        </w:tc>
        <w:tc>
          <w:tcPr>
            <w:tcW w:w="2500" w:type="pct"/>
            <w:gridSpan w:val="4"/>
            <w:tcBorders>
              <w:top w:val="nil"/>
              <w:left w:val="single" w:sz="4" w:space="0" w:color="auto"/>
              <w:bottom w:val="single" w:sz="4" w:space="0" w:color="auto"/>
              <w:right w:val="single" w:sz="4" w:space="0" w:color="auto"/>
            </w:tcBorders>
            <w:shd w:val="clear" w:color="auto" w:fill="auto"/>
            <w:vAlign w:val="bottom"/>
          </w:tcPr>
          <w:p w14:paraId="576CD9B5"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cstheme="minorHAnsi"/>
                <w:color w:val="3E3D40"/>
                <w:sz w:val="24"/>
                <w:szCs w:val="24"/>
                <w:shd w:val="clear" w:color="auto" w:fill="FFFFFF"/>
              </w:rPr>
              <w:t>I=0,27 p = 0,0001</w:t>
            </w:r>
          </w:p>
        </w:tc>
      </w:tr>
      <w:tr w:rsidR="009C085E" w:rsidRPr="00C316F8" w14:paraId="12C9A39D" w14:textId="77777777" w:rsidTr="001444F0">
        <w:trPr>
          <w:trHeight w:val="300"/>
        </w:trPr>
        <w:tc>
          <w:tcPr>
            <w:tcW w:w="160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ACEC5A"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Municipal category</w:t>
            </w:r>
          </w:p>
        </w:tc>
        <w:tc>
          <w:tcPr>
            <w:tcW w:w="407" w:type="pct"/>
            <w:tcBorders>
              <w:top w:val="single" w:sz="4" w:space="0" w:color="auto"/>
              <w:left w:val="nil"/>
              <w:bottom w:val="single" w:sz="4" w:space="0" w:color="auto"/>
              <w:right w:val="single" w:sz="4" w:space="0" w:color="auto"/>
            </w:tcBorders>
            <w:shd w:val="clear" w:color="auto" w:fill="auto"/>
            <w:noWrap/>
            <w:vAlign w:val="bottom"/>
            <w:hideMark/>
          </w:tcPr>
          <w:p w14:paraId="2BF4109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H-H</w:t>
            </w:r>
          </w:p>
        </w:tc>
        <w:tc>
          <w:tcPr>
            <w:tcW w:w="389" w:type="pct"/>
            <w:tcBorders>
              <w:top w:val="single" w:sz="4" w:space="0" w:color="auto"/>
              <w:left w:val="nil"/>
              <w:bottom w:val="single" w:sz="4" w:space="0" w:color="auto"/>
              <w:right w:val="single" w:sz="4" w:space="0" w:color="auto"/>
            </w:tcBorders>
            <w:shd w:val="clear" w:color="auto" w:fill="auto"/>
            <w:noWrap/>
            <w:vAlign w:val="bottom"/>
            <w:hideMark/>
          </w:tcPr>
          <w:p w14:paraId="4D2D26CE"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H-L</w:t>
            </w:r>
          </w:p>
        </w:tc>
        <w:tc>
          <w:tcPr>
            <w:tcW w:w="389" w:type="pct"/>
            <w:gridSpan w:val="2"/>
            <w:tcBorders>
              <w:top w:val="single" w:sz="4" w:space="0" w:color="auto"/>
              <w:left w:val="nil"/>
              <w:bottom w:val="single" w:sz="4" w:space="0" w:color="auto"/>
              <w:right w:val="single" w:sz="4" w:space="0" w:color="auto"/>
            </w:tcBorders>
            <w:shd w:val="clear" w:color="auto" w:fill="auto"/>
            <w:noWrap/>
            <w:vAlign w:val="bottom"/>
            <w:hideMark/>
          </w:tcPr>
          <w:p w14:paraId="58367E4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L-H</w:t>
            </w:r>
          </w:p>
        </w:tc>
        <w:tc>
          <w:tcPr>
            <w:tcW w:w="370" w:type="pct"/>
            <w:tcBorders>
              <w:top w:val="single" w:sz="4" w:space="0" w:color="auto"/>
              <w:left w:val="nil"/>
              <w:bottom w:val="single" w:sz="4" w:space="0" w:color="auto"/>
              <w:right w:val="single" w:sz="4" w:space="0" w:color="auto"/>
            </w:tcBorders>
            <w:shd w:val="clear" w:color="auto" w:fill="auto"/>
            <w:noWrap/>
            <w:vAlign w:val="bottom"/>
            <w:hideMark/>
          </w:tcPr>
          <w:p w14:paraId="3D977B01"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L-L</w:t>
            </w:r>
          </w:p>
        </w:tc>
        <w:tc>
          <w:tcPr>
            <w:tcW w:w="1337" w:type="pct"/>
            <w:tcBorders>
              <w:top w:val="single" w:sz="4" w:space="0" w:color="auto"/>
              <w:left w:val="nil"/>
              <w:bottom w:val="single" w:sz="4" w:space="0" w:color="auto"/>
              <w:right w:val="single" w:sz="4" w:space="0" w:color="auto"/>
            </w:tcBorders>
            <w:shd w:val="clear" w:color="auto" w:fill="auto"/>
            <w:noWrap/>
            <w:vAlign w:val="bottom"/>
            <w:hideMark/>
          </w:tcPr>
          <w:p w14:paraId="7756AFF3"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Not significance</w:t>
            </w:r>
          </w:p>
        </w:tc>
        <w:tc>
          <w:tcPr>
            <w:tcW w:w="507" w:type="pct"/>
            <w:tcBorders>
              <w:top w:val="single" w:sz="4" w:space="0" w:color="auto"/>
              <w:left w:val="nil"/>
              <w:bottom w:val="single" w:sz="4" w:space="0" w:color="auto"/>
              <w:right w:val="single" w:sz="4" w:space="0" w:color="auto"/>
            </w:tcBorders>
            <w:shd w:val="clear" w:color="auto" w:fill="auto"/>
            <w:noWrap/>
            <w:vAlign w:val="bottom"/>
            <w:hideMark/>
          </w:tcPr>
          <w:p w14:paraId="53A8EE45"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Total</w:t>
            </w:r>
          </w:p>
        </w:tc>
      </w:tr>
      <w:tr w:rsidR="009C085E" w:rsidRPr="00C316F8" w14:paraId="5260FD3A"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5C9669A4"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Spetial category</w:t>
            </w:r>
          </w:p>
        </w:tc>
        <w:tc>
          <w:tcPr>
            <w:tcW w:w="407" w:type="pct"/>
            <w:tcBorders>
              <w:top w:val="nil"/>
              <w:left w:val="nil"/>
              <w:bottom w:val="single" w:sz="4" w:space="0" w:color="auto"/>
              <w:right w:val="single" w:sz="4" w:space="0" w:color="auto"/>
            </w:tcBorders>
            <w:shd w:val="clear" w:color="auto" w:fill="auto"/>
            <w:noWrap/>
            <w:vAlign w:val="bottom"/>
            <w:hideMark/>
          </w:tcPr>
          <w:p w14:paraId="115FADD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89" w:type="pct"/>
            <w:tcBorders>
              <w:top w:val="nil"/>
              <w:left w:val="nil"/>
              <w:bottom w:val="single" w:sz="4" w:space="0" w:color="auto"/>
              <w:right w:val="single" w:sz="4" w:space="0" w:color="auto"/>
            </w:tcBorders>
            <w:shd w:val="clear" w:color="auto" w:fill="auto"/>
            <w:noWrap/>
            <w:vAlign w:val="bottom"/>
            <w:hideMark/>
          </w:tcPr>
          <w:p w14:paraId="1E9CF53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0677E5D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70" w:type="pct"/>
            <w:tcBorders>
              <w:top w:val="nil"/>
              <w:left w:val="nil"/>
              <w:bottom w:val="single" w:sz="4" w:space="0" w:color="auto"/>
              <w:right w:val="single" w:sz="4" w:space="0" w:color="auto"/>
            </w:tcBorders>
            <w:shd w:val="clear" w:color="auto" w:fill="auto"/>
            <w:noWrap/>
            <w:vAlign w:val="bottom"/>
            <w:hideMark/>
          </w:tcPr>
          <w:p w14:paraId="40BA59E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1337" w:type="pct"/>
            <w:tcBorders>
              <w:top w:val="nil"/>
              <w:left w:val="nil"/>
              <w:bottom w:val="single" w:sz="4" w:space="0" w:color="auto"/>
              <w:right w:val="single" w:sz="4" w:space="0" w:color="auto"/>
            </w:tcBorders>
            <w:shd w:val="clear" w:color="auto" w:fill="auto"/>
            <w:noWrap/>
            <w:vAlign w:val="bottom"/>
            <w:hideMark/>
          </w:tcPr>
          <w:p w14:paraId="4817CE1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507" w:type="pct"/>
            <w:tcBorders>
              <w:top w:val="nil"/>
              <w:left w:val="nil"/>
              <w:bottom w:val="single" w:sz="4" w:space="0" w:color="auto"/>
              <w:right w:val="single" w:sz="4" w:space="0" w:color="auto"/>
            </w:tcBorders>
            <w:shd w:val="clear" w:color="auto" w:fill="auto"/>
            <w:noWrap/>
            <w:vAlign w:val="bottom"/>
            <w:hideMark/>
          </w:tcPr>
          <w:p w14:paraId="544ABDD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7</w:t>
            </w:r>
          </w:p>
        </w:tc>
      </w:tr>
      <w:tr w:rsidR="009C085E" w:rsidRPr="00C316F8" w14:paraId="50F4F16C"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6DDF6F0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1</w:t>
            </w:r>
          </w:p>
        </w:tc>
        <w:tc>
          <w:tcPr>
            <w:tcW w:w="407" w:type="pct"/>
            <w:tcBorders>
              <w:top w:val="nil"/>
              <w:left w:val="nil"/>
              <w:bottom w:val="single" w:sz="4" w:space="0" w:color="auto"/>
              <w:right w:val="single" w:sz="4" w:space="0" w:color="auto"/>
            </w:tcBorders>
            <w:shd w:val="clear" w:color="auto" w:fill="auto"/>
            <w:noWrap/>
            <w:vAlign w:val="bottom"/>
            <w:hideMark/>
          </w:tcPr>
          <w:p w14:paraId="2FB3ABB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389" w:type="pct"/>
            <w:tcBorders>
              <w:top w:val="nil"/>
              <w:left w:val="nil"/>
              <w:bottom w:val="single" w:sz="4" w:space="0" w:color="auto"/>
              <w:right w:val="single" w:sz="4" w:space="0" w:color="auto"/>
            </w:tcBorders>
            <w:shd w:val="clear" w:color="auto" w:fill="auto"/>
            <w:noWrap/>
            <w:vAlign w:val="bottom"/>
            <w:hideMark/>
          </w:tcPr>
          <w:p w14:paraId="1ACFB10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21</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2CC609D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70" w:type="pct"/>
            <w:tcBorders>
              <w:top w:val="nil"/>
              <w:left w:val="nil"/>
              <w:bottom w:val="single" w:sz="4" w:space="0" w:color="auto"/>
              <w:right w:val="single" w:sz="4" w:space="0" w:color="auto"/>
            </w:tcBorders>
            <w:shd w:val="clear" w:color="auto" w:fill="auto"/>
            <w:noWrap/>
            <w:vAlign w:val="bottom"/>
            <w:hideMark/>
          </w:tcPr>
          <w:p w14:paraId="447469D4"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1337" w:type="pct"/>
            <w:tcBorders>
              <w:top w:val="nil"/>
              <w:left w:val="nil"/>
              <w:bottom w:val="single" w:sz="4" w:space="0" w:color="auto"/>
              <w:right w:val="single" w:sz="4" w:space="0" w:color="auto"/>
            </w:tcBorders>
            <w:shd w:val="clear" w:color="auto" w:fill="auto"/>
            <w:noWrap/>
            <w:vAlign w:val="bottom"/>
            <w:hideMark/>
          </w:tcPr>
          <w:p w14:paraId="410CB2F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12</w:t>
            </w:r>
          </w:p>
        </w:tc>
        <w:tc>
          <w:tcPr>
            <w:tcW w:w="507" w:type="pct"/>
            <w:tcBorders>
              <w:top w:val="nil"/>
              <w:left w:val="nil"/>
              <w:bottom w:val="single" w:sz="4" w:space="0" w:color="auto"/>
              <w:right w:val="single" w:sz="4" w:space="0" w:color="auto"/>
            </w:tcBorders>
            <w:shd w:val="clear" w:color="auto" w:fill="auto"/>
            <w:noWrap/>
            <w:vAlign w:val="bottom"/>
            <w:hideMark/>
          </w:tcPr>
          <w:p w14:paraId="1F3BB755"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34</w:t>
            </w:r>
          </w:p>
        </w:tc>
      </w:tr>
      <w:tr w:rsidR="009C085E" w:rsidRPr="00C316F8" w14:paraId="12501DA7"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5FDEA941"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2</w:t>
            </w:r>
          </w:p>
        </w:tc>
        <w:tc>
          <w:tcPr>
            <w:tcW w:w="407" w:type="pct"/>
            <w:tcBorders>
              <w:top w:val="nil"/>
              <w:left w:val="nil"/>
              <w:bottom w:val="single" w:sz="4" w:space="0" w:color="auto"/>
              <w:right w:val="single" w:sz="4" w:space="0" w:color="auto"/>
            </w:tcBorders>
            <w:shd w:val="clear" w:color="auto" w:fill="auto"/>
            <w:noWrap/>
            <w:vAlign w:val="bottom"/>
            <w:hideMark/>
          </w:tcPr>
          <w:p w14:paraId="7C10077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389" w:type="pct"/>
            <w:tcBorders>
              <w:top w:val="nil"/>
              <w:left w:val="nil"/>
              <w:bottom w:val="single" w:sz="4" w:space="0" w:color="auto"/>
              <w:right w:val="single" w:sz="4" w:space="0" w:color="auto"/>
            </w:tcBorders>
            <w:shd w:val="clear" w:color="auto" w:fill="auto"/>
            <w:noWrap/>
            <w:vAlign w:val="bottom"/>
            <w:hideMark/>
          </w:tcPr>
          <w:p w14:paraId="0DFB4CCE"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15</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7CBE35F3"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70" w:type="pct"/>
            <w:tcBorders>
              <w:top w:val="nil"/>
              <w:left w:val="nil"/>
              <w:bottom w:val="single" w:sz="4" w:space="0" w:color="auto"/>
              <w:right w:val="single" w:sz="4" w:space="0" w:color="auto"/>
            </w:tcBorders>
            <w:shd w:val="clear" w:color="auto" w:fill="auto"/>
            <w:noWrap/>
            <w:vAlign w:val="bottom"/>
            <w:hideMark/>
          </w:tcPr>
          <w:p w14:paraId="2828B78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w:t>
            </w:r>
          </w:p>
        </w:tc>
        <w:tc>
          <w:tcPr>
            <w:tcW w:w="1337" w:type="pct"/>
            <w:tcBorders>
              <w:top w:val="nil"/>
              <w:left w:val="nil"/>
              <w:bottom w:val="single" w:sz="4" w:space="0" w:color="auto"/>
              <w:right w:val="single" w:sz="4" w:space="0" w:color="auto"/>
            </w:tcBorders>
            <w:shd w:val="clear" w:color="auto" w:fill="auto"/>
            <w:noWrap/>
            <w:vAlign w:val="bottom"/>
            <w:hideMark/>
          </w:tcPr>
          <w:p w14:paraId="3D162A8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w:t>
            </w:r>
          </w:p>
        </w:tc>
        <w:tc>
          <w:tcPr>
            <w:tcW w:w="507" w:type="pct"/>
            <w:tcBorders>
              <w:top w:val="nil"/>
              <w:left w:val="nil"/>
              <w:bottom w:val="single" w:sz="4" w:space="0" w:color="auto"/>
              <w:right w:val="single" w:sz="4" w:space="0" w:color="auto"/>
            </w:tcBorders>
            <w:shd w:val="clear" w:color="auto" w:fill="auto"/>
            <w:noWrap/>
            <w:vAlign w:val="bottom"/>
            <w:hideMark/>
          </w:tcPr>
          <w:p w14:paraId="166A97D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21</w:t>
            </w:r>
          </w:p>
        </w:tc>
      </w:tr>
      <w:tr w:rsidR="009C085E" w:rsidRPr="00C316F8" w14:paraId="6C3C7135"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268E3D8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3</w:t>
            </w:r>
          </w:p>
        </w:tc>
        <w:tc>
          <w:tcPr>
            <w:tcW w:w="407" w:type="pct"/>
            <w:tcBorders>
              <w:top w:val="nil"/>
              <w:left w:val="nil"/>
              <w:bottom w:val="single" w:sz="4" w:space="0" w:color="auto"/>
              <w:right w:val="single" w:sz="4" w:space="0" w:color="auto"/>
            </w:tcBorders>
            <w:shd w:val="clear" w:color="auto" w:fill="auto"/>
            <w:noWrap/>
            <w:vAlign w:val="bottom"/>
            <w:hideMark/>
          </w:tcPr>
          <w:p w14:paraId="39DB1DD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89" w:type="pct"/>
            <w:tcBorders>
              <w:top w:val="nil"/>
              <w:left w:val="nil"/>
              <w:bottom w:val="single" w:sz="4" w:space="0" w:color="auto"/>
              <w:right w:val="single" w:sz="4" w:space="0" w:color="auto"/>
            </w:tcBorders>
            <w:shd w:val="clear" w:color="auto" w:fill="auto"/>
            <w:noWrap/>
            <w:vAlign w:val="bottom"/>
            <w:hideMark/>
          </w:tcPr>
          <w:p w14:paraId="2613902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17</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578CF41D"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70" w:type="pct"/>
            <w:tcBorders>
              <w:top w:val="nil"/>
              <w:left w:val="nil"/>
              <w:bottom w:val="single" w:sz="4" w:space="0" w:color="auto"/>
              <w:right w:val="single" w:sz="4" w:space="0" w:color="auto"/>
            </w:tcBorders>
            <w:shd w:val="clear" w:color="auto" w:fill="auto"/>
            <w:noWrap/>
            <w:vAlign w:val="bottom"/>
            <w:hideMark/>
          </w:tcPr>
          <w:p w14:paraId="557DEA3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1337" w:type="pct"/>
            <w:tcBorders>
              <w:top w:val="nil"/>
              <w:left w:val="nil"/>
              <w:bottom w:val="single" w:sz="4" w:space="0" w:color="auto"/>
              <w:right w:val="single" w:sz="4" w:space="0" w:color="auto"/>
            </w:tcBorders>
            <w:shd w:val="clear" w:color="auto" w:fill="auto"/>
            <w:noWrap/>
            <w:vAlign w:val="bottom"/>
            <w:hideMark/>
          </w:tcPr>
          <w:p w14:paraId="5A8FB04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507" w:type="pct"/>
            <w:tcBorders>
              <w:top w:val="nil"/>
              <w:left w:val="nil"/>
              <w:bottom w:val="single" w:sz="4" w:space="0" w:color="auto"/>
              <w:right w:val="single" w:sz="4" w:space="0" w:color="auto"/>
            </w:tcBorders>
            <w:shd w:val="clear" w:color="auto" w:fill="auto"/>
            <w:noWrap/>
            <w:vAlign w:val="bottom"/>
            <w:hideMark/>
          </w:tcPr>
          <w:p w14:paraId="556A5B4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21</w:t>
            </w:r>
          </w:p>
        </w:tc>
      </w:tr>
      <w:tr w:rsidR="009C085E" w:rsidRPr="00C316F8" w14:paraId="2E17DEF9"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65CFE3D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4</w:t>
            </w:r>
          </w:p>
        </w:tc>
        <w:tc>
          <w:tcPr>
            <w:tcW w:w="407" w:type="pct"/>
            <w:tcBorders>
              <w:top w:val="nil"/>
              <w:left w:val="nil"/>
              <w:bottom w:val="single" w:sz="4" w:space="0" w:color="auto"/>
              <w:right w:val="single" w:sz="4" w:space="0" w:color="auto"/>
            </w:tcBorders>
            <w:shd w:val="clear" w:color="auto" w:fill="auto"/>
            <w:noWrap/>
            <w:vAlign w:val="bottom"/>
            <w:hideMark/>
          </w:tcPr>
          <w:p w14:paraId="73652E15"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w:t>
            </w:r>
          </w:p>
        </w:tc>
        <w:tc>
          <w:tcPr>
            <w:tcW w:w="389" w:type="pct"/>
            <w:tcBorders>
              <w:top w:val="nil"/>
              <w:left w:val="nil"/>
              <w:bottom w:val="single" w:sz="4" w:space="0" w:color="auto"/>
              <w:right w:val="single" w:sz="4" w:space="0" w:color="auto"/>
            </w:tcBorders>
            <w:shd w:val="clear" w:color="auto" w:fill="auto"/>
            <w:noWrap/>
            <w:vAlign w:val="bottom"/>
            <w:hideMark/>
          </w:tcPr>
          <w:p w14:paraId="0BA5E08E"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75A4640D"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w:t>
            </w:r>
          </w:p>
        </w:tc>
        <w:tc>
          <w:tcPr>
            <w:tcW w:w="370" w:type="pct"/>
            <w:tcBorders>
              <w:top w:val="nil"/>
              <w:left w:val="nil"/>
              <w:bottom w:val="single" w:sz="4" w:space="0" w:color="auto"/>
              <w:right w:val="single" w:sz="4" w:space="0" w:color="auto"/>
            </w:tcBorders>
            <w:shd w:val="clear" w:color="auto" w:fill="auto"/>
            <w:noWrap/>
            <w:vAlign w:val="bottom"/>
            <w:hideMark/>
          </w:tcPr>
          <w:p w14:paraId="3E9F36F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1337" w:type="pct"/>
            <w:tcBorders>
              <w:top w:val="nil"/>
              <w:left w:val="nil"/>
              <w:bottom w:val="single" w:sz="4" w:space="0" w:color="auto"/>
              <w:right w:val="single" w:sz="4" w:space="0" w:color="auto"/>
            </w:tcBorders>
            <w:shd w:val="clear" w:color="auto" w:fill="auto"/>
            <w:noWrap/>
            <w:vAlign w:val="bottom"/>
            <w:hideMark/>
          </w:tcPr>
          <w:p w14:paraId="7D0C7F7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507" w:type="pct"/>
            <w:tcBorders>
              <w:top w:val="nil"/>
              <w:left w:val="nil"/>
              <w:bottom w:val="single" w:sz="4" w:space="0" w:color="auto"/>
              <w:right w:val="single" w:sz="4" w:space="0" w:color="auto"/>
            </w:tcBorders>
            <w:shd w:val="clear" w:color="auto" w:fill="auto"/>
            <w:noWrap/>
            <w:vAlign w:val="bottom"/>
            <w:hideMark/>
          </w:tcPr>
          <w:p w14:paraId="6382DAFC"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24</w:t>
            </w:r>
          </w:p>
        </w:tc>
      </w:tr>
      <w:tr w:rsidR="009C085E" w:rsidRPr="00C316F8" w14:paraId="63E84F81"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64D1BFBC"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5</w:t>
            </w:r>
          </w:p>
        </w:tc>
        <w:tc>
          <w:tcPr>
            <w:tcW w:w="407" w:type="pct"/>
            <w:tcBorders>
              <w:top w:val="nil"/>
              <w:left w:val="nil"/>
              <w:bottom w:val="single" w:sz="4" w:space="0" w:color="auto"/>
              <w:right w:val="single" w:sz="4" w:space="0" w:color="auto"/>
            </w:tcBorders>
            <w:shd w:val="clear" w:color="auto" w:fill="auto"/>
            <w:noWrap/>
            <w:vAlign w:val="bottom"/>
            <w:hideMark/>
          </w:tcPr>
          <w:p w14:paraId="5DB581DC"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389" w:type="pct"/>
            <w:tcBorders>
              <w:top w:val="nil"/>
              <w:left w:val="nil"/>
              <w:bottom w:val="single" w:sz="4" w:space="0" w:color="auto"/>
              <w:right w:val="single" w:sz="4" w:space="0" w:color="auto"/>
            </w:tcBorders>
            <w:shd w:val="clear" w:color="auto" w:fill="auto"/>
            <w:noWrap/>
            <w:vAlign w:val="bottom"/>
            <w:hideMark/>
          </w:tcPr>
          <w:p w14:paraId="1743CAB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19</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1EC4704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370" w:type="pct"/>
            <w:tcBorders>
              <w:top w:val="nil"/>
              <w:left w:val="nil"/>
              <w:bottom w:val="single" w:sz="4" w:space="0" w:color="auto"/>
              <w:right w:val="single" w:sz="4" w:space="0" w:color="auto"/>
            </w:tcBorders>
            <w:shd w:val="clear" w:color="auto" w:fill="auto"/>
            <w:noWrap/>
            <w:vAlign w:val="bottom"/>
            <w:hideMark/>
          </w:tcPr>
          <w:p w14:paraId="7114043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w:t>
            </w:r>
          </w:p>
        </w:tc>
        <w:tc>
          <w:tcPr>
            <w:tcW w:w="1337" w:type="pct"/>
            <w:tcBorders>
              <w:top w:val="nil"/>
              <w:left w:val="nil"/>
              <w:bottom w:val="single" w:sz="4" w:space="0" w:color="auto"/>
              <w:right w:val="single" w:sz="4" w:space="0" w:color="auto"/>
            </w:tcBorders>
            <w:shd w:val="clear" w:color="auto" w:fill="auto"/>
            <w:noWrap/>
            <w:vAlign w:val="bottom"/>
            <w:hideMark/>
          </w:tcPr>
          <w:p w14:paraId="27F1D90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15</w:t>
            </w:r>
          </w:p>
        </w:tc>
        <w:tc>
          <w:tcPr>
            <w:tcW w:w="507" w:type="pct"/>
            <w:tcBorders>
              <w:top w:val="nil"/>
              <w:left w:val="nil"/>
              <w:bottom w:val="single" w:sz="4" w:space="0" w:color="auto"/>
              <w:right w:val="single" w:sz="4" w:space="0" w:color="auto"/>
            </w:tcBorders>
            <w:shd w:val="clear" w:color="auto" w:fill="auto"/>
            <w:noWrap/>
            <w:vAlign w:val="bottom"/>
            <w:hideMark/>
          </w:tcPr>
          <w:p w14:paraId="04203D9C"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41</w:t>
            </w:r>
          </w:p>
        </w:tc>
      </w:tr>
      <w:tr w:rsidR="009C085E" w:rsidRPr="00C316F8" w14:paraId="63CF35DD"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623EECCA"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6</w:t>
            </w:r>
          </w:p>
        </w:tc>
        <w:tc>
          <w:tcPr>
            <w:tcW w:w="407" w:type="pct"/>
            <w:tcBorders>
              <w:top w:val="nil"/>
              <w:left w:val="nil"/>
              <w:bottom w:val="single" w:sz="4" w:space="0" w:color="auto"/>
              <w:right w:val="single" w:sz="4" w:space="0" w:color="auto"/>
            </w:tcBorders>
            <w:shd w:val="clear" w:color="auto" w:fill="auto"/>
            <w:noWrap/>
            <w:vAlign w:val="bottom"/>
            <w:hideMark/>
          </w:tcPr>
          <w:p w14:paraId="230EF4ED"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25</w:t>
            </w:r>
          </w:p>
        </w:tc>
        <w:tc>
          <w:tcPr>
            <w:tcW w:w="389" w:type="pct"/>
            <w:tcBorders>
              <w:top w:val="nil"/>
              <w:left w:val="nil"/>
              <w:bottom w:val="single" w:sz="4" w:space="0" w:color="auto"/>
              <w:right w:val="single" w:sz="4" w:space="0" w:color="auto"/>
            </w:tcBorders>
            <w:shd w:val="clear" w:color="auto" w:fill="auto"/>
            <w:noWrap/>
            <w:vAlign w:val="bottom"/>
            <w:hideMark/>
          </w:tcPr>
          <w:p w14:paraId="0FD6DF0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81</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4136A22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156</w:t>
            </w:r>
          </w:p>
        </w:tc>
        <w:tc>
          <w:tcPr>
            <w:tcW w:w="370" w:type="pct"/>
            <w:tcBorders>
              <w:top w:val="nil"/>
              <w:left w:val="nil"/>
              <w:bottom w:val="single" w:sz="4" w:space="0" w:color="auto"/>
              <w:right w:val="single" w:sz="4" w:space="0" w:color="auto"/>
            </w:tcBorders>
            <w:shd w:val="clear" w:color="auto" w:fill="auto"/>
            <w:noWrap/>
            <w:vAlign w:val="bottom"/>
            <w:hideMark/>
          </w:tcPr>
          <w:p w14:paraId="67F68143"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58</w:t>
            </w:r>
          </w:p>
        </w:tc>
        <w:tc>
          <w:tcPr>
            <w:tcW w:w="1337" w:type="pct"/>
            <w:tcBorders>
              <w:top w:val="nil"/>
              <w:left w:val="nil"/>
              <w:bottom w:val="single" w:sz="4" w:space="0" w:color="auto"/>
              <w:right w:val="single" w:sz="4" w:space="0" w:color="auto"/>
            </w:tcBorders>
            <w:shd w:val="clear" w:color="auto" w:fill="auto"/>
            <w:noWrap/>
            <w:vAlign w:val="bottom"/>
            <w:hideMark/>
          </w:tcPr>
          <w:p w14:paraId="76C9C6CC"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621</w:t>
            </w:r>
          </w:p>
        </w:tc>
        <w:tc>
          <w:tcPr>
            <w:tcW w:w="507" w:type="pct"/>
            <w:tcBorders>
              <w:top w:val="nil"/>
              <w:left w:val="nil"/>
              <w:bottom w:val="single" w:sz="4" w:space="0" w:color="auto"/>
              <w:right w:val="single" w:sz="4" w:space="0" w:color="auto"/>
            </w:tcBorders>
            <w:shd w:val="clear" w:color="auto" w:fill="auto"/>
            <w:noWrap/>
            <w:vAlign w:val="bottom"/>
            <w:hideMark/>
          </w:tcPr>
          <w:p w14:paraId="35DC69A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941</w:t>
            </w:r>
          </w:p>
        </w:tc>
      </w:tr>
      <w:tr w:rsidR="009C085E" w:rsidRPr="00C316F8" w14:paraId="417A29F6"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1F525094"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Total</w:t>
            </w:r>
          </w:p>
        </w:tc>
        <w:tc>
          <w:tcPr>
            <w:tcW w:w="407" w:type="pct"/>
            <w:tcBorders>
              <w:top w:val="nil"/>
              <w:left w:val="nil"/>
              <w:bottom w:val="single" w:sz="4" w:space="0" w:color="auto"/>
              <w:right w:val="single" w:sz="4" w:space="0" w:color="auto"/>
            </w:tcBorders>
            <w:shd w:val="clear" w:color="auto" w:fill="auto"/>
            <w:noWrap/>
            <w:vAlign w:val="bottom"/>
            <w:hideMark/>
          </w:tcPr>
          <w:p w14:paraId="33EA09D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34</w:t>
            </w:r>
          </w:p>
        </w:tc>
        <w:tc>
          <w:tcPr>
            <w:tcW w:w="389" w:type="pct"/>
            <w:tcBorders>
              <w:top w:val="nil"/>
              <w:left w:val="nil"/>
              <w:bottom w:val="single" w:sz="4" w:space="0" w:color="auto"/>
              <w:right w:val="single" w:sz="4" w:space="0" w:color="auto"/>
            </w:tcBorders>
            <w:shd w:val="clear" w:color="auto" w:fill="auto"/>
            <w:noWrap/>
            <w:vAlign w:val="bottom"/>
            <w:hideMark/>
          </w:tcPr>
          <w:p w14:paraId="34877EC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163</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4D1768B1"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162</w:t>
            </w:r>
          </w:p>
        </w:tc>
        <w:tc>
          <w:tcPr>
            <w:tcW w:w="370" w:type="pct"/>
            <w:tcBorders>
              <w:top w:val="nil"/>
              <w:left w:val="nil"/>
              <w:bottom w:val="single" w:sz="4" w:space="0" w:color="auto"/>
              <w:right w:val="single" w:sz="4" w:space="0" w:color="auto"/>
            </w:tcBorders>
            <w:shd w:val="clear" w:color="auto" w:fill="auto"/>
            <w:noWrap/>
            <w:vAlign w:val="bottom"/>
            <w:hideMark/>
          </w:tcPr>
          <w:p w14:paraId="1618245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63</w:t>
            </w:r>
          </w:p>
        </w:tc>
        <w:tc>
          <w:tcPr>
            <w:tcW w:w="1337" w:type="pct"/>
            <w:tcBorders>
              <w:top w:val="nil"/>
              <w:left w:val="nil"/>
              <w:bottom w:val="single" w:sz="4" w:space="0" w:color="auto"/>
              <w:right w:val="single" w:sz="4" w:space="0" w:color="auto"/>
            </w:tcBorders>
            <w:shd w:val="clear" w:color="auto" w:fill="auto"/>
            <w:noWrap/>
            <w:vAlign w:val="bottom"/>
            <w:hideMark/>
          </w:tcPr>
          <w:p w14:paraId="3736255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667</w:t>
            </w:r>
          </w:p>
        </w:tc>
        <w:tc>
          <w:tcPr>
            <w:tcW w:w="507" w:type="pct"/>
            <w:tcBorders>
              <w:top w:val="nil"/>
              <w:left w:val="nil"/>
              <w:bottom w:val="single" w:sz="4" w:space="0" w:color="auto"/>
              <w:right w:val="single" w:sz="4" w:space="0" w:color="auto"/>
            </w:tcBorders>
            <w:shd w:val="clear" w:color="auto" w:fill="auto"/>
            <w:noWrap/>
            <w:vAlign w:val="bottom"/>
            <w:hideMark/>
          </w:tcPr>
          <w:p w14:paraId="33438CB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1089</w:t>
            </w:r>
          </w:p>
        </w:tc>
      </w:tr>
      <w:tr w:rsidR="009C085E" w:rsidRPr="00C316F8" w14:paraId="0F4C3A1C" w14:textId="77777777" w:rsidTr="001444F0">
        <w:trPr>
          <w:trHeight w:val="610"/>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6A8A84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lastRenderedPageBreak/>
              <w:t>YEAR 2022</w:t>
            </w:r>
          </w:p>
        </w:tc>
      </w:tr>
      <w:tr w:rsidR="009C085E" w:rsidRPr="00C316F8" w14:paraId="2B1C9B74" w14:textId="77777777" w:rsidTr="001444F0">
        <w:trPr>
          <w:trHeight w:val="300"/>
        </w:trPr>
        <w:tc>
          <w:tcPr>
            <w:tcW w:w="2500" w:type="pct"/>
            <w:gridSpan w:val="4"/>
            <w:tcBorders>
              <w:top w:val="nil"/>
              <w:left w:val="single" w:sz="4" w:space="0" w:color="auto"/>
              <w:bottom w:val="single" w:sz="4" w:space="0" w:color="auto"/>
              <w:right w:val="single" w:sz="4" w:space="0" w:color="auto"/>
            </w:tcBorders>
            <w:shd w:val="clear" w:color="auto" w:fill="auto"/>
            <w:noWrap/>
            <w:vAlign w:val="bottom"/>
          </w:tcPr>
          <w:p w14:paraId="7A5DEBE1"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cstheme="minorHAnsi"/>
                <w:sz w:val="24"/>
                <w:szCs w:val="24"/>
              </w:rPr>
              <w:t xml:space="preserve">Moran Index </w:t>
            </w:r>
          </w:p>
        </w:tc>
        <w:tc>
          <w:tcPr>
            <w:tcW w:w="2500" w:type="pct"/>
            <w:gridSpan w:val="4"/>
            <w:tcBorders>
              <w:top w:val="nil"/>
              <w:left w:val="single" w:sz="4" w:space="0" w:color="auto"/>
              <w:bottom w:val="single" w:sz="4" w:space="0" w:color="auto"/>
              <w:right w:val="single" w:sz="4" w:space="0" w:color="auto"/>
            </w:tcBorders>
            <w:shd w:val="clear" w:color="auto" w:fill="auto"/>
            <w:vAlign w:val="bottom"/>
          </w:tcPr>
          <w:p w14:paraId="002F214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cstheme="minorHAnsi"/>
                <w:color w:val="3E3D40"/>
                <w:sz w:val="24"/>
                <w:szCs w:val="24"/>
                <w:shd w:val="clear" w:color="auto" w:fill="FFFFFF"/>
              </w:rPr>
              <w:t>I= 0,26 p = 0,0001</w:t>
            </w:r>
          </w:p>
        </w:tc>
      </w:tr>
      <w:tr w:rsidR="009C085E" w:rsidRPr="00C316F8" w14:paraId="513FDD69" w14:textId="77777777" w:rsidTr="001444F0">
        <w:trPr>
          <w:trHeight w:val="300"/>
        </w:trPr>
        <w:tc>
          <w:tcPr>
            <w:tcW w:w="160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8471E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Municipal category</w:t>
            </w:r>
          </w:p>
        </w:tc>
        <w:tc>
          <w:tcPr>
            <w:tcW w:w="407" w:type="pct"/>
            <w:tcBorders>
              <w:top w:val="single" w:sz="4" w:space="0" w:color="auto"/>
              <w:left w:val="nil"/>
              <w:bottom w:val="single" w:sz="4" w:space="0" w:color="auto"/>
              <w:right w:val="single" w:sz="4" w:space="0" w:color="auto"/>
            </w:tcBorders>
            <w:shd w:val="clear" w:color="auto" w:fill="auto"/>
            <w:noWrap/>
            <w:vAlign w:val="bottom"/>
            <w:hideMark/>
          </w:tcPr>
          <w:p w14:paraId="0B11AA9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H-H</w:t>
            </w:r>
          </w:p>
        </w:tc>
        <w:tc>
          <w:tcPr>
            <w:tcW w:w="389" w:type="pct"/>
            <w:tcBorders>
              <w:top w:val="single" w:sz="4" w:space="0" w:color="auto"/>
              <w:left w:val="nil"/>
              <w:bottom w:val="single" w:sz="4" w:space="0" w:color="auto"/>
              <w:right w:val="single" w:sz="4" w:space="0" w:color="auto"/>
            </w:tcBorders>
            <w:shd w:val="clear" w:color="auto" w:fill="auto"/>
            <w:noWrap/>
            <w:vAlign w:val="bottom"/>
            <w:hideMark/>
          </w:tcPr>
          <w:p w14:paraId="3FC950B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H-L</w:t>
            </w:r>
          </w:p>
        </w:tc>
        <w:tc>
          <w:tcPr>
            <w:tcW w:w="389" w:type="pct"/>
            <w:gridSpan w:val="2"/>
            <w:tcBorders>
              <w:top w:val="single" w:sz="4" w:space="0" w:color="auto"/>
              <w:left w:val="nil"/>
              <w:bottom w:val="single" w:sz="4" w:space="0" w:color="auto"/>
              <w:right w:val="single" w:sz="4" w:space="0" w:color="auto"/>
            </w:tcBorders>
            <w:shd w:val="clear" w:color="auto" w:fill="auto"/>
            <w:noWrap/>
            <w:vAlign w:val="bottom"/>
            <w:hideMark/>
          </w:tcPr>
          <w:p w14:paraId="292B819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L-H</w:t>
            </w:r>
          </w:p>
        </w:tc>
        <w:tc>
          <w:tcPr>
            <w:tcW w:w="370" w:type="pct"/>
            <w:tcBorders>
              <w:top w:val="single" w:sz="4" w:space="0" w:color="auto"/>
              <w:left w:val="nil"/>
              <w:bottom w:val="single" w:sz="4" w:space="0" w:color="auto"/>
              <w:right w:val="single" w:sz="4" w:space="0" w:color="auto"/>
            </w:tcBorders>
            <w:shd w:val="clear" w:color="auto" w:fill="auto"/>
            <w:noWrap/>
            <w:vAlign w:val="bottom"/>
            <w:hideMark/>
          </w:tcPr>
          <w:p w14:paraId="051714F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L-L</w:t>
            </w:r>
          </w:p>
        </w:tc>
        <w:tc>
          <w:tcPr>
            <w:tcW w:w="1337" w:type="pct"/>
            <w:tcBorders>
              <w:top w:val="single" w:sz="4" w:space="0" w:color="auto"/>
              <w:left w:val="nil"/>
              <w:bottom w:val="single" w:sz="4" w:space="0" w:color="auto"/>
              <w:right w:val="single" w:sz="4" w:space="0" w:color="auto"/>
            </w:tcBorders>
            <w:shd w:val="clear" w:color="auto" w:fill="auto"/>
            <w:noWrap/>
            <w:vAlign w:val="bottom"/>
            <w:hideMark/>
          </w:tcPr>
          <w:p w14:paraId="618AEC9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Not significance</w:t>
            </w:r>
          </w:p>
        </w:tc>
        <w:tc>
          <w:tcPr>
            <w:tcW w:w="507" w:type="pct"/>
            <w:tcBorders>
              <w:top w:val="single" w:sz="4" w:space="0" w:color="auto"/>
              <w:left w:val="nil"/>
              <w:bottom w:val="single" w:sz="4" w:space="0" w:color="auto"/>
              <w:right w:val="single" w:sz="4" w:space="0" w:color="auto"/>
            </w:tcBorders>
            <w:shd w:val="clear" w:color="auto" w:fill="auto"/>
            <w:noWrap/>
            <w:vAlign w:val="bottom"/>
            <w:hideMark/>
          </w:tcPr>
          <w:p w14:paraId="29A2450D"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Total</w:t>
            </w:r>
          </w:p>
        </w:tc>
      </w:tr>
      <w:tr w:rsidR="009C085E" w:rsidRPr="00C316F8" w14:paraId="307CD064"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1A1DEF3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Spetial category</w:t>
            </w:r>
          </w:p>
        </w:tc>
        <w:tc>
          <w:tcPr>
            <w:tcW w:w="407" w:type="pct"/>
            <w:tcBorders>
              <w:top w:val="nil"/>
              <w:left w:val="nil"/>
              <w:bottom w:val="single" w:sz="4" w:space="0" w:color="auto"/>
              <w:right w:val="single" w:sz="4" w:space="0" w:color="auto"/>
            </w:tcBorders>
            <w:shd w:val="clear" w:color="auto" w:fill="auto"/>
            <w:noWrap/>
            <w:vAlign w:val="bottom"/>
            <w:hideMark/>
          </w:tcPr>
          <w:p w14:paraId="096FFF2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89" w:type="pct"/>
            <w:tcBorders>
              <w:top w:val="nil"/>
              <w:left w:val="nil"/>
              <w:bottom w:val="single" w:sz="4" w:space="0" w:color="auto"/>
              <w:right w:val="single" w:sz="4" w:space="0" w:color="auto"/>
            </w:tcBorders>
            <w:shd w:val="clear" w:color="auto" w:fill="auto"/>
            <w:noWrap/>
            <w:vAlign w:val="bottom"/>
            <w:hideMark/>
          </w:tcPr>
          <w:p w14:paraId="289C6F0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145B728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70" w:type="pct"/>
            <w:tcBorders>
              <w:top w:val="nil"/>
              <w:left w:val="nil"/>
              <w:bottom w:val="single" w:sz="4" w:space="0" w:color="auto"/>
              <w:right w:val="single" w:sz="4" w:space="0" w:color="auto"/>
            </w:tcBorders>
            <w:shd w:val="clear" w:color="auto" w:fill="auto"/>
            <w:noWrap/>
            <w:vAlign w:val="bottom"/>
            <w:hideMark/>
          </w:tcPr>
          <w:p w14:paraId="13454D8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1337" w:type="pct"/>
            <w:tcBorders>
              <w:top w:val="nil"/>
              <w:left w:val="nil"/>
              <w:bottom w:val="single" w:sz="4" w:space="0" w:color="auto"/>
              <w:right w:val="single" w:sz="4" w:space="0" w:color="auto"/>
            </w:tcBorders>
            <w:shd w:val="clear" w:color="auto" w:fill="auto"/>
            <w:noWrap/>
            <w:vAlign w:val="bottom"/>
            <w:hideMark/>
          </w:tcPr>
          <w:p w14:paraId="64BB2AF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507" w:type="pct"/>
            <w:tcBorders>
              <w:top w:val="nil"/>
              <w:left w:val="nil"/>
              <w:bottom w:val="single" w:sz="4" w:space="0" w:color="auto"/>
              <w:right w:val="single" w:sz="4" w:space="0" w:color="auto"/>
            </w:tcBorders>
            <w:shd w:val="clear" w:color="auto" w:fill="auto"/>
            <w:noWrap/>
            <w:vAlign w:val="bottom"/>
            <w:hideMark/>
          </w:tcPr>
          <w:p w14:paraId="7B6D705E"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7</w:t>
            </w:r>
          </w:p>
        </w:tc>
      </w:tr>
      <w:tr w:rsidR="009C085E" w:rsidRPr="00C316F8" w14:paraId="217D201A"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3F536B1D"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1</w:t>
            </w:r>
          </w:p>
        </w:tc>
        <w:tc>
          <w:tcPr>
            <w:tcW w:w="407" w:type="pct"/>
            <w:tcBorders>
              <w:top w:val="nil"/>
              <w:left w:val="nil"/>
              <w:bottom w:val="single" w:sz="4" w:space="0" w:color="auto"/>
              <w:right w:val="single" w:sz="4" w:space="0" w:color="auto"/>
            </w:tcBorders>
            <w:shd w:val="clear" w:color="auto" w:fill="auto"/>
            <w:noWrap/>
            <w:vAlign w:val="bottom"/>
            <w:hideMark/>
          </w:tcPr>
          <w:p w14:paraId="7E4108C1"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89" w:type="pct"/>
            <w:tcBorders>
              <w:top w:val="nil"/>
              <w:left w:val="nil"/>
              <w:bottom w:val="single" w:sz="4" w:space="0" w:color="auto"/>
              <w:right w:val="single" w:sz="4" w:space="0" w:color="auto"/>
            </w:tcBorders>
            <w:shd w:val="clear" w:color="auto" w:fill="auto"/>
            <w:noWrap/>
            <w:vAlign w:val="bottom"/>
            <w:hideMark/>
          </w:tcPr>
          <w:p w14:paraId="1FF9D06C"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12</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4DBD7FE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370" w:type="pct"/>
            <w:tcBorders>
              <w:top w:val="nil"/>
              <w:left w:val="nil"/>
              <w:bottom w:val="single" w:sz="4" w:space="0" w:color="auto"/>
              <w:right w:val="single" w:sz="4" w:space="0" w:color="auto"/>
            </w:tcBorders>
            <w:shd w:val="clear" w:color="auto" w:fill="auto"/>
            <w:noWrap/>
            <w:vAlign w:val="bottom"/>
            <w:hideMark/>
          </w:tcPr>
          <w:p w14:paraId="79E06B0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w:t>
            </w:r>
          </w:p>
        </w:tc>
        <w:tc>
          <w:tcPr>
            <w:tcW w:w="1337" w:type="pct"/>
            <w:tcBorders>
              <w:top w:val="nil"/>
              <w:left w:val="nil"/>
              <w:bottom w:val="single" w:sz="4" w:space="0" w:color="auto"/>
              <w:right w:val="single" w:sz="4" w:space="0" w:color="auto"/>
            </w:tcBorders>
            <w:shd w:val="clear" w:color="auto" w:fill="auto"/>
            <w:noWrap/>
            <w:vAlign w:val="bottom"/>
            <w:hideMark/>
          </w:tcPr>
          <w:p w14:paraId="3176C88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507" w:type="pct"/>
            <w:tcBorders>
              <w:top w:val="nil"/>
              <w:left w:val="nil"/>
              <w:bottom w:val="single" w:sz="4" w:space="0" w:color="auto"/>
              <w:right w:val="single" w:sz="4" w:space="0" w:color="auto"/>
            </w:tcBorders>
            <w:shd w:val="clear" w:color="auto" w:fill="auto"/>
            <w:noWrap/>
            <w:vAlign w:val="bottom"/>
            <w:hideMark/>
          </w:tcPr>
          <w:p w14:paraId="34F7CCE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34</w:t>
            </w:r>
          </w:p>
        </w:tc>
      </w:tr>
      <w:tr w:rsidR="009C085E" w:rsidRPr="00C316F8" w14:paraId="3CCF8449"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584538E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2</w:t>
            </w:r>
          </w:p>
        </w:tc>
        <w:tc>
          <w:tcPr>
            <w:tcW w:w="407" w:type="pct"/>
            <w:tcBorders>
              <w:top w:val="nil"/>
              <w:left w:val="nil"/>
              <w:bottom w:val="single" w:sz="4" w:space="0" w:color="auto"/>
              <w:right w:val="single" w:sz="4" w:space="0" w:color="auto"/>
            </w:tcBorders>
            <w:shd w:val="clear" w:color="auto" w:fill="auto"/>
            <w:noWrap/>
            <w:vAlign w:val="bottom"/>
            <w:hideMark/>
          </w:tcPr>
          <w:p w14:paraId="72A5876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89" w:type="pct"/>
            <w:tcBorders>
              <w:top w:val="nil"/>
              <w:left w:val="nil"/>
              <w:bottom w:val="single" w:sz="4" w:space="0" w:color="auto"/>
              <w:right w:val="single" w:sz="4" w:space="0" w:color="auto"/>
            </w:tcBorders>
            <w:shd w:val="clear" w:color="auto" w:fill="auto"/>
            <w:noWrap/>
            <w:vAlign w:val="bottom"/>
            <w:hideMark/>
          </w:tcPr>
          <w:p w14:paraId="53487A2B"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1E83B84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370" w:type="pct"/>
            <w:tcBorders>
              <w:top w:val="nil"/>
              <w:left w:val="nil"/>
              <w:bottom w:val="single" w:sz="4" w:space="0" w:color="auto"/>
              <w:right w:val="single" w:sz="4" w:space="0" w:color="auto"/>
            </w:tcBorders>
            <w:shd w:val="clear" w:color="auto" w:fill="auto"/>
            <w:noWrap/>
            <w:vAlign w:val="bottom"/>
            <w:hideMark/>
          </w:tcPr>
          <w:p w14:paraId="3E419B3E"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14</w:t>
            </w:r>
          </w:p>
        </w:tc>
        <w:tc>
          <w:tcPr>
            <w:tcW w:w="1337" w:type="pct"/>
            <w:tcBorders>
              <w:top w:val="nil"/>
              <w:left w:val="nil"/>
              <w:bottom w:val="single" w:sz="4" w:space="0" w:color="auto"/>
              <w:right w:val="single" w:sz="4" w:space="0" w:color="auto"/>
            </w:tcBorders>
            <w:shd w:val="clear" w:color="auto" w:fill="auto"/>
            <w:noWrap/>
            <w:vAlign w:val="bottom"/>
            <w:hideMark/>
          </w:tcPr>
          <w:p w14:paraId="75ED616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w:t>
            </w:r>
          </w:p>
        </w:tc>
        <w:tc>
          <w:tcPr>
            <w:tcW w:w="507" w:type="pct"/>
            <w:tcBorders>
              <w:top w:val="nil"/>
              <w:left w:val="nil"/>
              <w:bottom w:val="single" w:sz="4" w:space="0" w:color="auto"/>
              <w:right w:val="single" w:sz="4" w:space="0" w:color="auto"/>
            </w:tcBorders>
            <w:shd w:val="clear" w:color="auto" w:fill="auto"/>
            <w:noWrap/>
            <w:vAlign w:val="bottom"/>
            <w:hideMark/>
          </w:tcPr>
          <w:p w14:paraId="2EBDA77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21</w:t>
            </w:r>
          </w:p>
        </w:tc>
      </w:tr>
      <w:tr w:rsidR="009C085E" w:rsidRPr="00C316F8" w14:paraId="40B05A43"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0012B38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3</w:t>
            </w:r>
          </w:p>
        </w:tc>
        <w:tc>
          <w:tcPr>
            <w:tcW w:w="407" w:type="pct"/>
            <w:tcBorders>
              <w:top w:val="nil"/>
              <w:left w:val="nil"/>
              <w:bottom w:val="single" w:sz="4" w:space="0" w:color="auto"/>
              <w:right w:val="single" w:sz="4" w:space="0" w:color="auto"/>
            </w:tcBorders>
            <w:shd w:val="clear" w:color="auto" w:fill="auto"/>
            <w:noWrap/>
            <w:vAlign w:val="bottom"/>
            <w:hideMark/>
          </w:tcPr>
          <w:p w14:paraId="687CD3D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89" w:type="pct"/>
            <w:tcBorders>
              <w:top w:val="nil"/>
              <w:left w:val="nil"/>
              <w:bottom w:val="single" w:sz="4" w:space="0" w:color="auto"/>
              <w:right w:val="single" w:sz="4" w:space="0" w:color="auto"/>
            </w:tcBorders>
            <w:shd w:val="clear" w:color="auto" w:fill="auto"/>
            <w:noWrap/>
            <w:vAlign w:val="bottom"/>
            <w:hideMark/>
          </w:tcPr>
          <w:p w14:paraId="17D7F4F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52DD73A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370" w:type="pct"/>
            <w:tcBorders>
              <w:top w:val="nil"/>
              <w:left w:val="nil"/>
              <w:bottom w:val="single" w:sz="4" w:space="0" w:color="auto"/>
              <w:right w:val="single" w:sz="4" w:space="0" w:color="auto"/>
            </w:tcBorders>
            <w:shd w:val="clear" w:color="auto" w:fill="auto"/>
            <w:noWrap/>
            <w:vAlign w:val="bottom"/>
            <w:hideMark/>
          </w:tcPr>
          <w:p w14:paraId="14A9E7C5"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13</w:t>
            </w:r>
          </w:p>
        </w:tc>
        <w:tc>
          <w:tcPr>
            <w:tcW w:w="1337" w:type="pct"/>
            <w:tcBorders>
              <w:top w:val="nil"/>
              <w:left w:val="nil"/>
              <w:bottom w:val="single" w:sz="4" w:space="0" w:color="auto"/>
              <w:right w:val="single" w:sz="4" w:space="0" w:color="auto"/>
            </w:tcBorders>
            <w:shd w:val="clear" w:color="auto" w:fill="auto"/>
            <w:noWrap/>
            <w:vAlign w:val="bottom"/>
            <w:hideMark/>
          </w:tcPr>
          <w:p w14:paraId="552D22D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w:t>
            </w:r>
          </w:p>
        </w:tc>
        <w:tc>
          <w:tcPr>
            <w:tcW w:w="507" w:type="pct"/>
            <w:tcBorders>
              <w:top w:val="nil"/>
              <w:left w:val="nil"/>
              <w:bottom w:val="single" w:sz="4" w:space="0" w:color="auto"/>
              <w:right w:val="single" w:sz="4" w:space="0" w:color="auto"/>
            </w:tcBorders>
            <w:shd w:val="clear" w:color="auto" w:fill="auto"/>
            <w:noWrap/>
            <w:vAlign w:val="bottom"/>
            <w:hideMark/>
          </w:tcPr>
          <w:p w14:paraId="3F9E8DBD"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21</w:t>
            </w:r>
          </w:p>
        </w:tc>
      </w:tr>
      <w:tr w:rsidR="009C085E" w:rsidRPr="00C316F8" w14:paraId="5F7E76C5"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4883849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4</w:t>
            </w:r>
          </w:p>
        </w:tc>
        <w:tc>
          <w:tcPr>
            <w:tcW w:w="407" w:type="pct"/>
            <w:tcBorders>
              <w:top w:val="nil"/>
              <w:left w:val="nil"/>
              <w:bottom w:val="single" w:sz="4" w:space="0" w:color="auto"/>
              <w:right w:val="single" w:sz="4" w:space="0" w:color="auto"/>
            </w:tcBorders>
            <w:shd w:val="clear" w:color="auto" w:fill="auto"/>
            <w:noWrap/>
            <w:vAlign w:val="bottom"/>
            <w:hideMark/>
          </w:tcPr>
          <w:p w14:paraId="7881B2C5"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389" w:type="pct"/>
            <w:tcBorders>
              <w:top w:val="nil"/>
              <w:left w:val="nil"/>
              <w:bottom w:val="single" w:sz="4" w:space="0" w:color="auto"/>
              <w:right w:val="single" w:sz="4" w:space="0" w:color="auto"/>
            </w:tcBorders>
            <w:shd w:val="clear" w:color="auto" w:fill="auto"/>
            <w:noWrap/>
            <w:vAlign w:val="bottom"/>
            <w:hideMark/>
          </w:tcPr>
          <w:p w14:paraId="22B438B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76EF7AF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7</w:t>
            </w:r>
          </w:p>
        </w:tc>
        <w:tc>
          <w:tcPr>
            <w:tcW w:w="370" w:type="pct"/>
            <w:tcBorders>
              <w:top w:val="nil"/>
              <w:left w:val="nil"/>
              <w:bottom w:val="single" w:sz="4" w:space="0" w:color="auto"/>
              <w:right w:val="single" w:sz="4" w:space="0" w:color="auto"/>
            </w:tcBorders>
            <w:shd w:val="clear" w:color="auto" w:fill="auto"/>
            <w:noWrap/>
            <w:vAlign w:val="bottom"/>
            <w:hideMark/>
          </w:tcPr>
          <w:p w14:paraId="5C4E784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1337" w:type="pct"/>
            <w:tcBorders>
              <w:top w:val="nil"/>
              <w:left w:val="nil"/>
              <w:bottom w:val="single" w:sz="4" w:space="0" w:color="auto"/>
              <w:right w:val="single" w:sz="4" w:space="0" w:color="auto"/>
            </w:tcBorders>
            <w:shd w:val="clear" w:color="auto" w:fill="auto"/>
            <w:noWrap/>
            <w:vAlign w:val="bottom"/>
            <w:hideMark/>
          </w:tcPr>
          <w:p w14:paraId="49692E8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13</w:t>
            </w:r>
          </w:p>
        </w:tc>
        <w:tc>
          <w:tcPr>
            <w:tcW w:w="507" w:type="pct"/>
            <w:tcBorders>
              <w:top w:val="nil"/>
              <w:left w:val="nil"/>
              <w:bottom w:val="single" w:sz="4" w:space="0" w:color="auto"/>
              <w:right w:val="single" w:sz="4" w:space="0" w:color="auto"/>
            </w:tcBorders>
            <w:shd w:val="clear" w:color="auto" w:fill="auto"/>
            <w:noWrap/>
            <w:vAlign w:val="bottom"/>
            <w:hideMark/>
          </w:tcPr>
          <w:p w14:paraId="632A0E9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23</w:t>
            </w:r>
          </w:p>
        </w:tc>
      </w:tr>
      <w:tr w:rsidR="009C085E" w:rsidRPr="00C316F8" w14:paraId="350D5E79"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119F3B1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5</w:t>
            </w:r>
          </w:p>
        </w:tc>
        <w:tc>
          <w:tcPr>
            <w:tcW w:w="407" w:type="pct"/>
            <w:tcBorders>
              <w:top w:val="nil"/>
              <w:left w:val="nil"/>
              <w:bottom w:val="single" w:sz="4" w:space="0" w:color="auto"/>
              <w:right w:val="single" w:sz="4" w:space="0" w:color="auto"/>
            </w:tcBorders>
            <w:shd w:val="clear" w:color="auto" w:fill="auto"/>
            <w:noWrap/>
            <w:vAlign w:val="bottom"/>
            <w:hideMark/>
          </w:tcPr>
          <w:p w14:paraId="24AA7477"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389" w:type="pct"/>
            <w:tcBorders>
              <w:top w:val="nil"/>
              <w:left w:val="nil"/>
              <w:bottom w:val="single" w:sz="4" w:space="0" w:color="auto"/>
              <w:right w:val="single" w:sz="4" w:space="0" w:color="auto"/>
            </w:tcBorders>
            <w:shd w:val="clear" w:color="auto" w:fill="auto"/>
            <w:noWrap/>
            <w:vAlign w:val="bottom"/>
            <w:hideMark/>
          </w:tcPr>
          <w:p w14:paraId="3A42B8EC"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8</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2CBCF85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370" w:type="pct"/>
            <w:tcBorders>
              <w:top w:val="nil"/>
              <w:left w:val="nil"/>
              <w:bottom w:val="single" w:sz="4" w:space="0" w:color="auto"/>
              <w:right w:val="single" w:sz="4" w:space="0" w:color="auto"/>
            </w:tcBorders>
            <w:shd w:val="clear" w:color="auto" w:fill="auto"/>
            <w:noWrap/>
            <w:vAlign w:val="bottom"/>
            <w:hideMark/>
          </w:tcPr>
          <w:p w14:paraId="6890342A"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w:t>
            </w:r>
          </w:p>
        </w:tc>
        <w:tc>
          <w:tcPr>
            <w:tcW w:w="1337" w:type="pct"/>
            <w:tcBorders>
              <w:top w:val="nil"/>
              <w:left w:val="nil"/>
              <w:bottom w:val="single" w:sz="4" w:space="0" w:color="auto"/>
              <w:right w:val="single" w:sz="4" w:space="0" w:color="auto"/>
            </w:tcBorders>
            <w:shd w:val="clear" w:color="auto" w:fill="auto"/>
            <w:noWrap/>
            <w:vAlign w:val="bottom"/>
            <w:hideMark/>
          </w:tcPr>
          <w:p w14:paraId="7F2E142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17</w:t>
            </w:r>
          </w:p>
        </w:tc>
        <w:tc>
          <w:tcPr>
            <w:tcW w:w="507" w:type="pct"/>
            <w:tcBorders>
              <w:top w:val="nil"/>
              <w:left w:val="nil"/>
              <w:bottom w:val="single" w:sz="4" w:space="0" w:color="auto"/>
              <w:right w:val="single" w:sz="4" w:space="0" w:color="auto"/>
            </w:tcBorders>
            <w:shd w:val="clear" w:color="auto" w:fill="auto"/>
            <w:noWrap/>
            <w:vAlign w:val="bottom"/>
            <w:hideMark/>
          </w:tcPr>
          <w:p w14:paraId="25C9429E"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39</w:t>
            </w:r>
          </w:p>
        </w:tc>
      </w:tr>
      <w:tr w:rsidR="009C085E" w:rsidRPr="00C316F8" w14:paraId="59690D22"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5CEE0ED6"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Category 6</w:t>
            </w:r>
          </w:p>
        </w:tc>
        <w:tc>
          <w:tcPr>
            <w:tcW w:w="407" w:type="pct"/>
            <w:tcBorders>
              <w:top w:val="nil"/>
              <w:left w:val="nil"/>
              <w:bottom w:val="single" w:sz="4" w:space="0" w:color="auto"/>
              <w:right w:val="single" w:sz="4" w:space="0" w:color="auto"/>
            </w:tcBorders>
            <w:shd w:val="clear" w:color="auto" w:fill="auto"/>
            <w:noWrap/>
            <w:vAlign w:val="bottom"/>
            <w:hideMark/>
          </w:tcPr>
          <w:p w14:paraId="33BC2180"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8</w:t>
            </w:r>
          </w:p>
        </w:tc>
        <w:tc>
          <w:tcPr>
            <w:tcW w:w="389" w:type="pct"/>
            <w:tcBorders>
              <w:top w:val="nil"/>
              <w:left w:val="nil"/>
              <w:bottom w:val="single" w:sz="4" w:space="0" w:color="auto"/>
              <w:right w:val="single" w:sz="4" w:space="0" w:color="auto"/>
            </w:tcBorders>
            <w:shd w:val="clear" w:color="auto" w:fill="auto"/>
            <w:noWrap/>
            <w:vAlign w:val="bottom"/>
            <w:hideMark/>
          </w:tcPr>
          <w:p w14:paraId="535E0BB5"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39</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59F4014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91</w:t>
            </w:r>
          </w:p>
        </w:tc>
        <w:tc>
          <w:tcPr>
            <w:tcW w:w="370" w:type="pct"/>
            <w:tcBorders>
              <w:top w:val="nil"/>
              <w:left w:val="nil"/>
              <w:bottom w:val="single" w:sz="4" w:space="0" w:color="auto"/>
              <w:right w:val="single" w:sz="4" w:space="0" w:color="auto"/>
            </w:tcBorders>
            <w:shd w:val="clear" w:color="auto" w:fill="auto"/>
            <w:noWrap/>
            <w:vAlign w:val="bottom"/>
            <w:hideMark/>
          </w:tcPr>
          <w:p w14:paraId="00E221E5"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49</w:t>
            </w:r>
          </w:p>
        </w:tc>
        <w:tc>
          <w:tcPr>
            <w:tcW w:w="1337" w:type="pct"/>
            <w:tcBorders>
              <w:top w:val="nil"/>
              <w:left w:val="nil"/>
              <w:bottom w:val="single" w:sz="4" w:space="0" w:color="auto"/>
              <w:right w:val="single" w:sz="4" w:space="0" w:color="auto"/>
            </w:tcBorders>
            <w:shd w:val="clear" w:color="auto" w:fill="auto"/>
            <w:noWrap/>
            <w:vAlign w:val="bottom"/>
            <w:hideMark/>
          </w:tcPr>
          <w:p w14:paraId="7E3AEF8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460</w:t>
            </w:r>
          </w:p>
        </w:tc>
        <w:tc>
          <w:tcPr>
            <w:tcW w:w="507" w:type="pct"/>
            <w:tcBorders>
              <w:top w:val="nil"/>
              <w:left w:val="nil"/>
              <w:bottom w:val="single" w:sz="4" w:space="0" w:color="auto"/>
              <w:right w:val="single" w:sz="4" w:space="0" w:color="auto"/>
            </w:tcBorders>
            <w:shd w:val="clear" w:color="auto" w:fill="auto"/>
            <w:noWrap/>
            <w:vAlign w:val="bottom"/>
            <w:hideMark/>
          </w:tcPr>
          <w:p w14:paraId="36042E18"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647</w:t>
            </w:r>
          </w:p>
        </w:tc>
      </w:tr>
      <w:tr w:rsidR="009C085E" w:rsidRPr="00C316F8" w14:paraId="794C6459" w14:textId="77777777" w:rsidTr="001444F0">
        <w:trPr>
          <w:trHeight w:val="300"/>
        </w:trPr>
        <w:tc>
          <w:tcPr>
            <w:tcW w:w="1601" w:type="pct"/>
            <w:tcBorders>
              <w:top w:val="nil"/>
              <w:left w:val="single" w:sz="4" w:space="0" w:color="auto"/>
              <w:bottom w:val="single" w:sz="4" w:space="0" w:color="auto"/>
              <w:right w:val="single" w:sz="4" w:space="0" w:color="auto"/>
            </w:tcBorders>
            <w:shd w:val="clear" w:color="auto" w:fill="auto"/>
            <w:noWrap/>
            <w:vAlign w:val="bottom"/>
            <w:hideMark/>
          </w:tcPr>
          <w:p w14:paraId="2E29B6F5"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Total</w:t>
            </w:r>
          </w:p>
        </w:tc>
        <w:tc>
          <w:tcPr>
            <w:tcW w:w="407" w:type="pct"/>
            <w:tcBorders>
              <w:top w:val="nil"/>
              <w:left w:val="nil"/>
              <w:bottom w:val="single" w:sz="4" w:space="0" w:color="auto"/>
              <w:right w:val="single" w:sz="4" w:space="0" w:color="auto"/>
            </w:tcBorders>
            <w:shd w:val="clear" w:color="auto" w:fill="auto"/>
            <w:noWrap/>
            <w:vAlign w:val="bottom"/>
            <w:hideMark/>
          </w:tcPr>
          <w:p w14:paraId="115C942C"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w:t>
            </w:r>
          </w:p>
        </w:tc>
        <w:tc>
          <w:tcPr>
            <w:tcW w:w="389" w:type="pct"/>
            <w:tcBorders>
              <w:top w:val="nil"/>
              <w:left w:val="nil"/>
              <w:bottom w:val="single" w:sz="4" w:space="0" w:color="auto"/>
              <w:right w:val="single" w:sz="4" w:space="0" w:color="auto"/>
            </w:tcBorders>
            <w:shd w:val="clear" w:color="auto" w:fill="auto"/>
            <w:noWrap/>
            <w:vAlign w:val="bottom"/>
            <w:hideMark/>
          </w:tcPr>
          <w:p w14:paraId="27AD142F"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73</w:t>
            </w:r>
          </w:p>
        </w:tc>
        <w:tc>
          <w:tcPr>
            <w:tcW w:w="389" w:type="pct"/>
            <w:gridSpan w:val="2"/>
            <w:tcBorders>
              <w:top w:val="nil"/>
              <w:left w:val="nil"/>
              <w:bottom w:val="single" w:sz="4" w:space="0" w:color="auto"/>
              <w:right w:val="single" w:sz="4" w:space="0" w:color="auto"/>
            </w:tcBorders>
            <w:shd w:val="clear" w:color="auto" w:fill="auto"/>
            <w:noWrap/>
            <w:vAlign w:val="bottom"/>
            <w:hideMark/>
          </w:tcPr>
          <w:p w14:paraId="35EC0B64"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105</w:t>
            </w:r>
          </w:p>
        </w:tc>
        <w:tc>
          <w:tcPr>
            <w:tcW w:w="370" w:type="pct"/>
            <w:tcBorders>
              <w:top w:val="nil"/>
              <w:left w:val="nil"/>
              <w:bottom w:val="single" w:sz="4" w:space="0" w:color="auto"/>
              <w:right w:val="single" w:sz="4" w:space="0" w:color="auto"/>
            </w:tcBorders>
            <w:shd w:val="clear" w:color="auto" w:fill="auto"/>
            <w:noWrap/>
            <w:vAlign w:val="bottom"/>
            <w:hideMark/>
          </w:tcPr>
          <w:p w14:paraId="3B7DDDA2"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96</w:t>
            </w:r>
          </w:p>
        </w:tc>
        <w:tc>
          <w:tcPr>
            <w:tcW w:w="1337" w:type="pct"/>
            <w:tcBorders>
              <w:top w:val="nil"/>
              <w:left w:val="nil"/>
              <w:bottom w:val="single" w:sz="4" w:space="0" w:color="auto"/>
              <w:right w:val="single" w:sz="4" w:space="0" w:color="auto"/>
            </w:tcBorders>
            <w:shd w:val="clear" w:color="auto" w:fill="auto"/>
            <w:noWrap/>
            <w:vAlign w:val="bottom"/>
            <w:hideMark/>
          </w:tcPr>
          <w:p w14:paraId="66AC75AD"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509</w:t>
            </w:r>
          </w:p>
        </w:tc>
        <w:tc>
          <w:tcPr>
            <w:tcW w:w="507" w:type="pct"/>
            <w:tcBorders>
              <w:top w:val="nil"/>
              <w:left w:val="nil"/>
              <w:bottom w:val="single" w:sz="4" w:space="0" w:color="auto"/>
              <w:right w:val="single" w:sz="4" w:space="0" w:color="auto"/>
            </w:tcBorders>
            <w:shd w:val="clear" w:color="auto" w:fill="auto"/>
            <w:noWrap/>
            <w:vAlign w:val="bottom"/>
            <w:hideMark/>
          </w:tcPr>
          <w:p w14:paraId="012B6849" w14:textId="77777777" w:rsidR="009C085E" w:rsidRPr="00C316F8" w:rsidRDefault="009C085E"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792</w:t>
            </w:r>
          </w:p>
        </w:tc>
      </w:tr>
    </w:tbl>
    <w:p w14:paraId="38A39A03" w14:textId="273632EB" w:rsidR="00A61D31" w:rsidRPr="00C316F8" w:rsidRDefault="002E675B" w:rsidP="003B711F">
      <w:pPr>
        <w:jc w:val="both"/>
        <w:rPr>
          <w:rFonts w:eastAsia="Calibri" w:cstheme="minorHAnsi"/>
          <w:sz w:val="24"/>
          <w:szCs w:val="24"/>
          <w:lang w:val="es-CO"/>
        </w:rPr>
      </w:pPr>
      <w:r w:rsidRPr="00C316F8">
        <w:rPr>
          <w:rFonts w:eastAsia="Calibri" w:cstheme="minorHAnsi"/>
          <w:sz w:val="24"/>
          <w:szCs w:val="24"/>
          <w:lang w:val="es-CO"/>
        </w:rPr>
        <w:t>Fuente, elaboración propia.</w:t>
      </w:r>
    </w:p>
    <w:p w14:paraId="7DC19C29" w14:textId="0E8B77A1" w:rsidR="002329ED" w:rsidRPr="00C316F8" w:rsidRDefault="002329ED" w:rsidP="003B711F">
      <w:pPr>
        <w:jc w:val="both"/>
        <w:rPr>
          <w:rFonts w:cstheme="minorHAnsi"/>
          <w:sz w:val="24"/>
          <w:szCs w:val="24"/>
          <w:lang w:val="es-CO"/>
        </w:rPr>
      </w:pPr>
      <w:r w:rsidRPr="00C316F8">
        <w:rPr>
          <w:rFonts w:cstheme="minorHAnsi"/>
          <w:sz w:val="24"/>
          <w:szCs w:val="24"/>
          <w:lang w:val="es-CO"/>
        </w:rPr>
        <w:t xml:space="preserve">Para una mejor visualización, los resultados del análisis LISA para los conglomerados significativos se presentan en la Figura </w:t>
      </w:r>
      <w:r w:rsidR="00E219B4" w:rsidRPr="00C316F8">
        <w:rPr>
          <w:rFonts w:cstheme="minorHAnsi"/>
          <w:sz w:val="24"/>
          <w:szCs w:val="24"/>
          <w:lang w:val="es-CO"/>
        </w:rPr>
        <w:t>4</w:t>
      </w:r>
      <w:r w:rsidRPr="00C316F8">
        <w:rPr>
          <w:rFonts w:cstheme="minorHAnsi"/>
          <w:sz w:val="24"/>
          <w:szCs w:val="24"/>
          <w:lang w:val="es-CO"/>
        </w:rPr>
        <w:t>. Los datos por municipio y su significancia estadística en el análisis LISA se encuentran en el Suplemento N2.</w:t>
      </w:r>
    </w:p>
    <w:p w14:paraId="5A593654" w14:textId="2155E4A0" w:rsidR="002329ED" w:rsidRPr="00C316F8" w:rsidRDefault="002329ED" w:rsidP="003B711F">
      <w:pPr>
        <w:jc w:val="both"/>
        <w:rPr>
          <w:rFonts w:cstheme="minorHAnsi"/>
          <w:sz w:val="24"/>
          <w:szCs w:val="24"/>
          <w:lang w:val="es-CO"/>
        </w:rPr>
      </w:pPr>
      <w:r w:rsidRPr="00C316F8">
        <w:rPr>
          <w:rFonts w:cstheme="minorHAnsi"/>
          <w:sz w:val="24"/>
          <w:szCs w:val="24"/>
          <w:lang w:val="es-CO"/>
        </w:rPr>
        <w:t>Durante los años 2020, 2021 y 2022, los municipios de categorías 5 y 6 mostraron un predominio de conglomerados alto-alto. Aunque estos conglomerados disminuyeron con el tiempo, en 2022 los municipios que aún presentaban valores altos incluían Albán, Piendamó, Tun</w:t>
      </w:r>
      <w:r w:rsidR="00615C7C" w:rsidRPr="00C316F8">
        <w:rPr>
          <w:rFonts w:cstheme="minorHAnsi"/>
          <w:sz w:val="24"/>
          <w:szCs w:val="24"/>
          <w:lang w:val="es-CO"/>
        </w:rPr>
        <w:t>j</w:t>
      </w:r>
      <w:r w:rsidRPr="00C316F8">
        <w:rPr>
          <w:rFonts w:cstheme="minorHAnsi"/>
          <w:sz w:val="24"/>
          <w:szCs w:val="24"/>
          <w:lang w:val="es-CO"/>
        </w:rPr>
        <w:t>a, Pamplona, Suratá, Ocaña, Sardinata, San Marcos, Colosó y Urrao.</w:t>
      </w:r>
    </w:p>
    <w:p w14:paraId="50886EBD" w14:textId="77777777" w:rsidR="002329ED" w:rsidRPr="00C316F8" w:rsidRDefault="002329ED" w:rsidP="003B711F">
      <w:pPr>
        <w:jc w:val="both"/>
        <w:rPr>
          <w:rFonts w:cstheme="minorHAnsi"/>
          <w:sz w:val="24"/>
          <w:szCs w:val="24"/>
          <w:lang w:val="es-CO"/>
        </w:rPr>
      </w:pPr>
      <w:r w:rsidRPr="00C316F8">
        <w:rPr>
          <w:rFonts w:cstheme="minorHAnsi"/>
          <w:sz w:val="24"/>
          <w:szCs w:val="24"/>
          <w:lang w:val="es-CO"/>
        </w:rPr>
        <w:t>En 2020, la mayoría de las observaciones no fueron significativas, pero se observó un número considerable de conglomerados bajo-alto, lo que indica una baja tasa de mortalidad con un alto índice de pobreza multidimensional.</w:t>
      </w:r>
    </w:p>
    <w:p w14:paraId="1DC5E518" w14:textId="77777777" w:rsidR="002329ED" w:rsidRPr="00C316F8" w:rsidRDefault="002329ED" w:rsidP="003B711F">
      <w:pPr>
        <w:jc w:val="both"/>
        <w:rPr>
          <w:rFonts w:cstheme="minorHAnsi"/>
          <w:sz w:val="24"/>
          <w:szCs w:val="24"/>
          <w:lang w:val="es-CO"/>
        </w:rPr>
      </w:pPr>
      <w:r w:rsidRPr="00C316F8">
        <w:rPr>
          <w:rFonts w:cstheme="minorHAnsi"/>
          <w:sz w:val="24"/>
          <w:szCs w:val="24"/>
          <w:lang w:val="es-CO"/>
        </w:rPr>
        <w:t>En 2021, aumentaron tanto los conglomerados alto-bajo como los bajo-alto, lo que indica una mayor dispersión territorial, con valores atípicos distribuidos en diversas categorías.</w:t>
      </w:r>
    </w:p>
    <w:p w14:paraId="7FC06E53" w14:textId="3379F927" w:rsidR="00C04A8D" w:rsidRPr="00C316F8" w:rsidRDefault="002329ED" w:rsidP="003B711F">
      <w:pPr>
        <w:jc w:val="both"/>
        <w:rPr>
          <w:rFonts w:cstheme="minorHAnsi"/>
          <w:sz w:val="24"/>
          <w:szCs w:val="24"/>
          <w:lang w:val="es-CO"/>
        </w:rPr>
      </w:pPr>
      <w:r w:rsidRPr="00C316F8">
        <w:rPr>
          <w:rFonts w:cstheme="minorHAnsi"/>
          <w:sz w:val="24"/>
          <w:szCs w:val="24"/>
          <w:lang w:val="es-CO"/>
        </w:rPr>
        <w:t>En 2022, el número de conglomerados bajo-bajo aumentó significativamente, especialmente en la Categoría 6.</w:t>
      </w:r>
    </w:p>
    <w:p w14:paraId="5BF42AD1" w14:textId="57C39AE2" w:rsidR="00291619" w:rsidRPr="00C316F8" w:rsidRDefault="00291619" w:rsidP="00291619">
      <w:pPr>
        <w:pStyle w:val="Descripcin"/>
        <w:jc w:val="both"/>
        <w:rPr>
          <w:rFonts w:asciiTheme="minorHAnsi" w:hAnsiTheme="minorHAnsi" w:cstheme="minorHAnsi"/>
          <w:b/>
          <w:bCs/>
          <w:i w:val="0"/>
          <w:iCs w:val="0"/>
          <w:color w:val="auto"/>
          <w:sz w:val="24"/>
          <w:szCs w:val="24"/>
        </w:rPr>
      </w:pPr>
      <w:bookmarkStart w:id="53" w:name="_Toc229834709"/>
      <w:r w:rsidRPr="00C316F8">
        <w:rPr>
          <w:rFonts w:asciiTheme="minorHAnsi" w:hAnsiTheme="minorHAnsi" w:cstheme="minorHAnsi"/>
          <w:b/>
          <w:bCs/>
          <w:i w:val="0"/>
          <w:iCs w:val="0"/>
          <w:color w:val="auto"/>
          <w:sz w:val="24"/>
          <w:szCs w:val="24"/>
        </w:rPr>
        <w:t xml:space="preserve">Figura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Figura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4</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Mapas de conglomerados significativos obtenidos mediante el análisis LISA de las tasas de mortalidad por COVID-19 y el Índice de Pobreza Multidimensional Municipal (CMPI). Colombia, 2020-2022</w:t>
      </w:r>
      <w:bookmarkEnd w:id="53"/>
    </w:p>
    <w:p w14:paraId="46F8B0D1" w14:textId="09313934" w:rsidR="00356684" w:rsidRPr="00C316F8" w:rsidRDefault="00356684" w:rsidP="003B711F">
      <w:pPr>
        <w:jc w:val="both"/>
        <w:rPr>
          <w:rFonts w:cstheme="minorHAnsi"/>
          <w:sz w:val="24"/>
          <w:szCs w:val="24"/>
        </w:rPr>
      </w:pPr>
      <w:r w:rsidRPr="00C316F8">
        <w:rPr>
          <w:rFonts w:cstheme="minorHAnsi"/>
          <w:noProof/>
          <w:sz w:val="24"/>
          <w:szCs w:val="24"/>
        </w:rPr>
        <w:lastRenderedPageBreak/>
        <w:drawing>
          <wp:inline distT="0" distB="0" distL="0" distR="0" wp14:anchorId="08C9F640" wp14:editId="64FAEBB4">
            <wp:extent cx="5612130" cy="2515235"/>
            <wp:effectExtent l="0" t="0" r="7620" b="0"/>
            <wp:docPr id="13386335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2130" cy="2515235"/>
                    </a:xfrm>
                    <a:prstGeom prst="rect">
                      <a:avLst/>
                    </a:prstGeom>
                    <a:noFill/>
                    <a:ln>
                      <a:noFill/>
                    </a:ln>
                  </pic:spPr>
                </pic:pic>
              </a:graphicData>
            </a:graphic>
          </wp:inline>
        </w:drawing>
      </w:r>
    </w:p>
    <w:p w14:paraId="654C3032" w14:textId="77777777" w:rsidR="002E675B" w:rsidRPr="00C316F8" w:rsidRDefault="002E675B" w:rsidP="002E675B">
      <w:pPr>
        <w:jc w:val="both"/>
        <w:rPr>
          <w:rFonts w:eastAsia="Calibri" w:cstheme="minorHAnsi"/>
          <w:sz w:val="24"/>
          <w:szCs w:val="24"/>
          <w:lang w:val="es-CO"/>
        </w:rPr>
      </w:pPr>
      <w:r w:rsidRPr="00C316F8">
        <w:rPr>
          <w:rFonts w:eastAsia="Calibri" w:cstheme="minorHAnsi"/>
          <w:sz w:val="24"/>
          <w:szCs w:val="24"/>
          <w:lang w:val="es-CO"/>
        </w:rPr>
        <w:t>Fuente, elaboración propia.</w:t>
      </w:r>
    </w:p>
    <w:p w14:paraId="14555DAA" w14:textId="4C7BAA4F" w:rsidR="00C04A8D" w:rsidRPr="00C316F8" w:rsidRDefault="00C04A8D" w:rsidP="003B711F">
      <w:pPr>
        <w:jc w:val="both"/>
        <w:rPr>
          <w:rFonts w:cstheme="minorHAnsi"/>
          <w:sz w:val="24"/>
          <w:szCs w:val="24"/>
          <w:lang w:val="es-CO"/>
        </w:rPr>
      </w:pPr>
    </w:p>
    <w:p w14:paraId="0F22D19C" w14:textId="2AFF1A72" w:rsidR="00C4662C" w:rsidRPr="00C316F8" w:rsidRDefault="00C4662C" w:rsidP="003B711F">
      <w:pPr>
        <w:jc w:val="both"/>
        <w:rPr>
          <w:rFonts w:cstheme="minorHAnsi"/>
          <w:b/>
          <w:sz w:val="24"/>
          <w:szCs w:val="24"/>
          <w:lang w:val="es-CO"/>
        </w:rPr>
      </w:pPr>
      <w:r w:rsidRPr="00C316F8">
        <w:rPr>
          <w:rFonts w:cstheme="minorHAnsi"/>
          <w:b/>
          <w:sz w:val="24"/>
          <w:szCs w:val="24"/>
          <w:lang w:val="es-CO"/>
        </w:rPr>
        <w:t>Modelamiento espacial para las tasas de mortalidad y las variables del CMPI</w:t>
      </w:r>
    </w:p>
    <w:p w14:paraId="4D1F153A" w14:textId="1A1E5A7C" w:rsidR="004B0782" w:rsidRPr="00C316F8" w:rsidRDefault="004E619E" w:rsidP="003B711F">
      <w:pPr>
        <w:jc w:val="both"/>
        <w:rPr>
          <w:rFonts w:cstheme="minorHAnsi"/>
          <w:sz w:val="24"/>
          <w:szCs w:val="24"/>
          <w:lang w:val="es-CO"/>
        </w:rPr>
      </w:pPr>
      <w:r w:rsidRPr="00C316F8">
        <w:rPr>
          <w:rFonts w:cstheme="minorHAnsi"/>
          <w:sz w:val="24"/>
          <w:szCs w:val="24"/>
          <w:lang w:val="es-CO"/>
        </w:rPr>
        <w:t xml:space="preserve">El modelo SAC se aplicó para cada año de la pandemia, y se encontró que para el año 2020 las variables significativas fueron: bajo logro educativo (p&lt;0.0005, IC95%: -1.89 a -1.19), inasistencia escolar (p=0.0079, IC95%: 0.38 a 2.52), barreras en la atención a la primera infancia (p=0.031, IC95%: -3.88 a -0.18), trabajo infantil (p=0.0034, IC95%: -6.88 a -1.36), empleo informal (p=0.0053, IC95%: 0.23 a 1.30), no afiliación al sistema de salud (p=0.0077, IC95%: -0.63 a -0.10), material inadecuado en el piso de la vivienda (p=0.0013, IC95%: -0.54 a -0.13), y hacinamiento crítico (p=0.0015, IC95%: 0.33 a 1.41). Los resultados del modelo se presentan en la Tabla </w:t>
      </w:r>
      <w:r w:rsidR="00996D55" w:rsidRPr="00C316F8">
        <w:rPr>
          <w:rFonts w:cstheme="minorHAnsi"/>
          <w:sz w:val="24"/>
          <w:szCs w:val="24"/>
          <w:lang w:val="es-CO"/>
        </w:rPr>
        <w:t>7</w:t>
      </w:r>
      <w:r w:rsidRPr="00C316F8">
        <w:rPr>
          <w:rFonts w:cstheme="minorHAnsi"/>
          <w:sz w:val="24"/>
          <w:szCs w:val="24"/>
          <w:lang w:val="es-CO"/>
        </w:rPr>
        <w:t>.</w:t>
      </w:r>
    </w:p>
    <w:p w14:paraId="503DD19B" w14:textId="77777777" w:rsidR="002802E5" w:rsidRPr="00C316F8" w:rsidRDefault="002802E5" w:rsidP="003B711F">
      <w:pPr>
        <w:jc w:val="both"/>
        <w:rPr>
          <w:rFonts w:cstheme="minorHAnsi"/>
          <w:sz w:val="24"/>
          <w:szCs w:val="24"/>
          <w:lang w:val="es-CO"/>
        </w:rPr>
      </w:pPr>
    </w:p>
    <w:p w14:paraId="4A8B8424" w14:textId="4333C783" w:rsidR="005D512A" w:rsidRPr="00C316F8" w:rsidRDefault="002802E5" w:rsidP="002802E5">
      <w:pPr>
        <w:pStyle w:val="Descripcin"/>
        <w:rPr>
          <w:rFonts w:asciiTheme="minorHAnsi" w:hAnsiTheme="minorHAnsi" w:cstheme="minorHAnsi"/>
          <w:b/>
          <w:bCs/>
          <w:i w:val="0"/>
          <w:iCs w:val="0"/>
          <w:color w:val="auto"/>
          <w:sz w:val="24"/>
          <w:szCs w:val="24"/>
        </w:rPr>
      </w:pPr>
      <w:bookmarkStart w:id="54" w:name="_Toc229834695"/>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7</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Resultados del modelo autorregresivo espacial simultáneo (SAC) – Colombia, 2020</w:t>
      </w:r>
      <w:bookmarkEnd w:id="54"/>
    </w:p>
    <w:tbl>
      <w:tblPr>
        <w:tblStyle w:val="Tablaconcuadrcula"/>
        <w:tblW w:w="0" w:type="auto"/>
        <w:tblLook w:val="04A0" w:firstRow="1" w:lastRow="0" w:firstColumn="1" w:lastColumn="0" w:noHBand="0" w:noVBand="1"/>
      </w:tblPr>
      <w:tblGrid>
        <w:gridCol w:w="1737"/>
        <w:gridCol w:w="1791"/>
        <w:gridCol w:w="1560"/>
        <w:gridCol w:w="1373"/>
        <w:gridCol w:w="1355"/>
        <w:gridCol w:w="1012"/>
      </w:tblGrid>
      <w:tr w:rsidR="005D512A" w:rsidRPr="00C316F8" w14:paraId="1E22E52C" w14:textId="77777777" w:rsidTr="001444F0">
        <w:trPr>
          <w:trHeight w:val="562"/>
        </w:trPr>
        <w:tc>
          <w:tcPr>
            <w:tcW w:w="1737" w:type="dxa"/>
          </w:tcPr>
          <w:p w14:paraId="6559383C" w14:textId="77777777" w:rsidR="005D512A" w:rsidRPr="00C316F8" w:rsidRDefault="005D512A" w:rsidP="003B711F">
            <w:pPr>
              <w:jc w:val="both"/>
              <w:rPr>
                <w:rFonts w:cstheme="minorHAnsi"/>
                <w:sz w:val="24"/>
                <w:szCs w:val="24"/>
              </w:rPr>
            </w:pPr>
            <w:r w:rsidRPr="00C316F8">
              <w:rPr>
                <w:rFonts w:cstheme="minorHAnsi"/>
                <w:sz w:val="24"/>
                <w:szCs w:val="24"/>
              </w:rPr>
              <w:t>DIMENSIONS</w:t>
            </w:r>
          </w:p>
        </w:tc>
        <w:tc>
          <w:tcPr>
            <w:tcW w:w="1791" w:type="dxa"/>
          </w:tcPr>
          <w:p w14:paraId="2ACF49DD" w14:textId="77777777" w:rsidR="005D512A" w:rsidRPr="00C316F8" w:rsidRDefault="005D512A" w:rsidP="003B711F">
            <w:pPr>
              <w:jc w:val="both"/>
              <w:rPr>
                <w:rFonts w:cstheme="minorHAnsi"/>
                <w:sz w:val="24"/>
                <w:szCs w:val="24"/>
              </w:rPr>
            </w:pPr>
            <w:r w:rsidRPr="00C316F8">
              <w:rPr>
                <w:rFonts w:cstheme="minorHAnsi"/>
                <w:sz w:val="24"/>
                <w:szCs w:val="24"/>
              </w:rPr>
              <w:t>VARIABLE</w:t>
            </w:r>
          </w:p>
          <w:p w14:paraId="6D51649F" w14:textId="77777777" w:rsidR="005D512A" w:rsidRPr="00C316F8" w:rsidRDefault="005D512A" w:rsidP="003B711F">
            <w:pPr>
              <w:jc w:val="both"/>
              <w:rPr>
                <w:rFonts w:cstheme="minorHAnsi"/>
                <w:sz w:val="24"/>
                <w:szCs w:val="24"/>
              </w:rPr>
            </w:pPr>
          </w:p>
        </w:tc>
        <w:tc>
          <w:tcPr>
            <w:tcW w:w="1560" w:type="dxa"/>
          </w:tcPr>
          <w:p w14:paraId="668E1096" w14:textId="77777777" w:rsidR="005D512A" w:rsidRPr="00C316F8" w:rsidRDefault="005D512A" w:rsidP="003B711F">
            <w:pPr>
              <w:jc w:val="both"/>
              <w:rPr>
                <w:rFonts w:cstheme="minorHAnsi"/>
                <w:color w:val="0D0D0D"/>
                <w:sz w:val="24"/>
                <w:szCs w:val="24"/>
              </w:rPr>
            </w:pPr>
            <w:r w:rsidRPr="00C316F8">
              <w:rPr>
                <w:rFonts w:cstheme="minorHAnsi"/>
                <w:color w:val="0D0D0D"/>
                <w:sz w:val="24"/>
                <w:szCs w:val="24"/>
              </w:rPr>
              <w:t>COEFFICIENT</w:t>
            </w:r>
          </w:p>
          <w:p w14:paraId="731F28D3" w14:textId="77777777" w:rsidR="005D512A" w:rsidRPr="00C316F8" w:rsidRDefault="005D512A" w:rsidP="003B711F">
            <w:pPr>
              <w:jc w:val="both"/>
              <w:rPr>
                <w:rFonts w:cstheme="minorHAnsi"/>
                <w:sz w:val="24"/>
                <w:szCs w:val="24"/>
              </w:rPr>
            </w:pPr>
          </w:p>
        </w:tc>
        <w:tc>
          <w:tcPr>
            <w:tcW w:w="2728" w:type="dxa"/>
            <w:gridSpan w:val="2"/>
            <w:tcBorders>
              <w:bottom w:val="single" w:sz="4" w:space="0" w:color="auto"/>
            </w:tcBorders>
          </w:tcPr>
          <w:p w14:paraId="0D6E1ACB" w14:textId="77777777" w:rsidR="005D512A" w:rsidRPr="00C316F8" w:rsidRDefault="005D512A" w:rsidP="003B711F">
            <w:pPr>
              <w:jc w:val="both"/>
              <w:rPr>
                <w:rFonts w:cstheme="minorHAnsi"/>
                <w:sz w:val="24"/>
                <w:szCs w:val="24"/>
              </w:rPr>
            </w:pPr>
            <w:r w:rsidRPr="00C316F8">
              <w:rPr>
                <w:rFonts w:cstheme="minorHAnsi"/>
                <w:color w:val="0D0D0D"/>
                <w:sz w:val="24"/>
                <w:szCs w:val="24"/>
              </w:rPr>
              <w:t>CONFIDENCE INTERVAL 95%</w:t>
            </w:r>
          </w:p>
        </w:tc>
        <w:tc>
          <w:tcPr>
            <w:tcW w:w="1012" w:type="dxa"/>
            <w:tcBorders>
              <w:bottom w:val="single" w:sz="4" w:space="0" w:color="auto"/>
            </w:tcBorders>
          </w:tcPr>
          <w:p w14:paraId="5406A633" w14:textId="77777777" w:rsidR="005D512A" w:rsidRPr="00C316F8" w:rsidRDefault="005D512A" w:rsidP="003B711F">
            <w:pPr>
              <w:jc w:val="both"/>
              <w:rPr>
                <w:rFonts w:cstheme="minorHAnsi"/>
                <w:sz w:val="24"/>
                <w:szCs w:val="24"/>
              </w:rPr>
            </w:pPr>
            <w:r w:rsidRPr="00C316F8">
              <w:rPr>
                <w:rFonts w:cstheme="minorHAnsi"/>
                <w:sz w:val="24"/>
                <w:szCs w:val="24"/>
              </w:rPr>
              <w:t>P VALUE</w:t>
            </w:r>
          </w:p>
        </w:tc>
      </w:tr>
      <w:tr w:rsidR="005D512A" w:rsidRPr="00C316F8" w14:paraId="5A2088AA" w14:textId="77777777" w:rsidTr="001444F0">
        <w:tc>
          <w:tcPr>
            <w:tcW w:w="1737" w:type="dxa"/>
            <w:vMerge w:val="restart"/>
          </w:tcPr>
          <w:p w14:paraId="3BBE7904" w14:textId="77777777" w:rsidR="005D512A" w:rsidRPr="00C316F8" w:rsidRDefault="005D512A" w:rsidP="003B711F">
            <w:pPr>
              <w:jc w:val="both"/>
              <w:rPr>
                <w:rFonts w:cstheme="minorHAnsi"/>
                <w:sz w:val="24"/>
                <w:szCs w:val="24"/>
              </w:rPr>
            </w:pPr>
          </w:p>
        </w:tc>
        <w:tc>
          <w:tcPr>
            <w:tcW w:w="1791" w:type="dxa"/>
          </w:tcPr>
          <w:p w14:paraId="1535527E" w14:textId="77777777" w:rsidR="005D512A" w:rsidRPr="00C316F8" w:rsidRDefault="005D512A" w:rsidP="003B711F">
            <w:pPr>
              <w:jc w:val="both"/>
              <w:rPr>
                <w:rFonts w:cstheme="minorHAnsi"/>
                <w:sz w:val="24"/>
                <w:szCs w:val="24"/>
              </w:rPr>
            </w:pPr>
            <w:r w:rsidRPr="00C316F8">
              <w:rPr>
                <w:rFonts w:cstheme="minorHAnsi"/>
                <w:sz w:val="24"/>
                <w:szCs w:val="24"/>
              </w:rPr>
              <w:t>Rho</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9AA5C8D" w14:textId="77777777" w:rsidR="005D512A" w:rsidRPr="00C316F8" w:rsidRDefault="005D512A" w:rsidP="003B711F">
            <w:pPr>
              <w:jc w:val="both"/>
              <w:rPr>
                <w:rFonts w:cstheme="minorHAnsi"/>
                <w:color w:val="000000"/>
                <w:sz w:val="24"/>
                <w:szCs w:val="24"/>
              </w:rPr>
            </w:pPr>
            <w:r w:rsidRPr="00C316F8">
              <w:rPr>
                <w:rFonts w:cstheme="minorHAnsi"/>
                <w:sz w:val="24"/>
                <w:szCs w:val="24"/>
              </w:rPr>
              <w:t>-0.39</w:t>
            </w:r>
          </w:p>
        </w:tc>
        <w:tc>
          <w:tcPr>
            <w:tcW w:w="1373" w:type="dxa"/>
            <w:tcBorders>
              <w:top w:val="single" w:sz="4" w:space="0" w:color="auto"/>
              <w:left w:val="nil"/>
              <w:bottom w:val="single" w:sz="4" w:space="0" w:color="auto"/>
              <w:right w:val="single" w:sz="4" w:space="0" w:color="auto"/>
            </w:tcBorders>
            <w:shd w:val="clear" w:color="auto" w:fill="auto"/>
          </w:tcPr>
          <w:p w14:paraId="57AD7094" w14:textId="77777777" w:rsidR="005D512A" w:rsidRPr="00C316F8" w:rsidRDefault="005D512A" w:rsidP="003B711F">
            <w:pPr>
              <w:jc w:val="both"/>
              <w:rPr>
                <w:rFonts w:cstheme="minorHAnsi"/>
                <w:color w:val="000000"/>
                <w:sz w:val="24"/>
                <w:szCs w:val="24"/>
              </w:rPr>
            </w:pPr>
            <w:r w:rsidRPr="00C316F8">
              <w:rPr>
                <w:rFonts w:cstheme="minorHAnsi"/>
                <w:sz w:val="24"/>
                <w:szCs w:val="24"/>
              </w:rPr>
              <w:t>-0.52</w:t>
            </w:r>
          </w:p>
        </w:tc>
        <w:tc>
          <w:tcPr>
            <w:tcW w:w="1355" w:type="dxa"/>
            <w:tcBorders>
              <w:top w:val="single" w:sz="4" w:space="0" w:color="auto"/>
              <w:left w:val="single" w:sz="4" w:space="0" w:color="auto"/>
              <w:bottom w:val="single" w:sz="4" w:space="0" w:color="auto"/>
              <w:right w:val="single" w:sz="4" w:space="0" w:color="auto"/>
            </w:tcBorders>
            <w:shd w:val="clear" w:color="auto" w:fill="auto"/>
          </w:tcPr>
          <w:p w14:paraId="33C4B210" w14:textId="77777777" w:rsidR="005D512A" w:rsidRPr="00C316F8" w:rsidRDefault="005D512A" w:rsidP="003B711F">
            <w:pPr>
              <w:jc w:val="both"/>
              <w:rPr>
                <w:rFonts w:cstheme="minorHAnsi"/>
                <w:color w:val="000000"/>
                <w:sz w:val="24"/>
                <w:szCs w:val="24"/>
              </w:rPr>
            </w:pPr>
            <w:r w:rsidRPr="00C316F8">
              <w:rPr>
                <w:rFonts w:cstheme="minorHAnsi"/>
                <w:sz w:val="24"/>
                <w:szCs w:val="24"/>
              </w:rPr>
              <w:t>-0.26</w:t>
            </w:r>
          </w:p>
        </w:tc>
        <w:tc>
          <w:tcPr>
            <w:tcW w:w="1012" w:type="dxa"/>
            <w:tcBorders>
              <w:top w:val="single" w:sz="4" w:space="0" w:color="auto"/>
              <w:left w:val="single" w:sz="4" w:space="0" w:color="auto"/>
              <w:bottom w:val="single" w:sz="4" w:space="0" w:color="auto"/>
              <w:right w:val="single" w:sz="4" w:space="0" w:color="auto"/>
            </w:tcBorders>
            <w:shd w:val="clear" w:color="auto" w:fill="auto"/>
          </w:tcPr>
          <w:p w14:paraId="1BEFD08E" w14:textId="77777777" w:rsidR="005D512A" w:rsidRPr="00C316F8" w:rsidRDefault="005D512A" w:rsidP="003B711F">
            <w:pPr>
              <w:jc w:val="both"/>
              <w:rPr>
                <w:rFonts w:cstheme="minorHAnsi"/>
                <w:color w:val="000000"/>
                <w:sz w:val="24"/>
                <w:szCs w:val="24"/>
              </w:rPr>
            </w:pPr>
            <w:r w:rsidRPr="00C316F8">
              <w:rPr>
                <w:rFonts w:cstheme="minorHAnsi"/>
                <w:sz w:val="24"/>
                <w:szCs w:val="24"/>
              </w:rPr>
              <w:t>0.0005</w:t>
            </w:r>
          </w:p>
        </w:tc>
      </w:tr>
      <w:tr w:rsidR="005D512A" w:rsidRPr="00C316F8" w14:paraId="6DD65211" w14:textId="77777777" w:rsidTr="001444F0">
        <w:tc>
          <w:tcPr>
            <w:tcW w:w="1737" w:type="dxa"/>
            <w:vMerge/>
          </w:tcPr>
          <w:p w14:paraId="2D27BAA0" w14:textId="77777777" w:rsidR="005D512A" w:rsidRPr="00C316F8" w:rsidRDefault="005D512A" w:rsidP="003B711F">
            <w:pPr>
              <w:jc w:val="both"/>
              <w:rPr>
                <w:rFonts w:cstheme="minorHAnsi"/>
                <w:sz w:val="24"/>
                <w:szCs w:val="24"/>
              </w:rPr>
            </w:pPr>
          </w:p>
        </w:tc>
        <w:tc>
          <w:tcPr>
            <w:tcW w:w="1791" w:type="dxa"/>
          </w:tcPr>
          <w:p w14:paraId="682F4FEF" w14:textId="77777777" w:rsidR="005D512A" w:rsidRPr="00C316F8" w:rsidRDefault="005D512A" w:rsidP="003B711F">
            <w:pPr>
              <w:jc w:val="both"/>
              <w:rPr>
                <w:rFonts w:cstheme="minorHAnsi"/>
                <w:sz w:val="24"/>
                <w:szCs w:val="24"/>
              </w:rPr>
            </w:pPr>
            <w:r w:rsidRPr="00C316F8">
              <w:rPr>
                <w:rFonts w:cstheme="minorHAnsi"/>
                <w:sz w:val="24"/>
                <w:szCs w:val="24"/>
              </w:rPr>
              <w:t>(Intercept)</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7A1A6C6C" w14:textId="77777777" w:rsidR="005D512A" w:rsidRPr="00C316F8" w:rsidRDefault="005D512A" w:rsidP="003B711F">
            <w:pPr>
              <w:jc w:val="both"/>
              <w:rPr>
                <w:rFonts w:cstheme="minorHAnsi"/>
                <w:color w:val="000000"/>
                <w:sz w:val="24"/>
                <w:szCs w:val="24"/>
              </w:rPr>
            </w:pPr>
            <w:r w:rsidRPr="00C316F8">
              <w:rPr>
                <w:rFonts w:cstheme="minorHAnsi"/>
                <w:sz w:val="24"/>
                <w:szCs w:val="24"/>
              </w:rPr>
              <w:t>116.64</w:t>
            </w:r>
          </w:p>
        </w:tc>
        <w:tc>
          <w:tcPr>
            <w:tcW w:w="1373" w:type="dxa"/>
            <w:tcBorders>
              <w:top w:val="single" w:sz="4" w:space="0" w:color="auto"/>
              <w:left w:val="nil"/>
              <w:bottom w:val="single" w:sz="4" w:space="0" w:color="auto"/>
              <w:right w:val="single" w:sz="4" w:space="0" w:color="auto"/>
            </w:tcBorders>
            <w:shd w:val="clear" w:color="auto" w:fill="auto"/>
          </w:tcPr>
          <w:p w14:paraId="62BE5AF3" w14:textId="77777777" w:rsidR="005D512A" w:rsidRPr="00C316F8" w:rsidRDefault="005D512A" w:rsidP="003B711F">
            <w:pPr>
              <w:jc w:val="both"/>
              <w:rPr>
                <w:rFonts w:cstheme="minorHAnsi"/>
                <w:color w:val="000000"/>
                <w:sz w:val="24"/>
                <w:szCs w:val="24"/>
              </w:rPr>
            </w:pPr>
            <w:r w:rsidRPr="00C316F8">
              <w:rPr>
                <w:rFonts w:cstheme="minorHAnsi"/>
                <w:sz w:val="24"/>
                <w:szCs w:val="24"/>
              </w:rPr>
              <w:t>70.18</w:t>
            </w:r>
          </w:p>
        </w:tc>
        <w:tc>
          <w:tcPr>
            <w:tcW w:w="1355" w:type="dxa"/>
            <w:tcBorders>
              <w:top w:val="single" w:sz="4" w:space="0" w:color="auto"/>
              <w:left w:val="single" w:sz="4" w:space="0" w:color="auto"/>
              <w:bottom w:val="single" w:sz="4" w:space="0" w:color="auto"/>
              <w:right w:val="single" w:sz="4" w:space="0" w:color="auto"/>
            </w:tcBorders>
            <w:shd w:val="clear" w:color="auto" w:fill="auto"/>
          </w:tcPr>
          <w:p w14:paraId="3BB415E3" w14:textId="77777777" w:rsidR="005D512A" w:rsidRPr="00C316F8" w:rsidRDefault="005D512A" w:rsidP="003B711F">
            <w:pPr>
              <w:jc w:val="both"/>
              <w:rPr>
                <w:rFonts w:cstheme="minorHAnsi"/>
                <w:color w:val="000000"/>
                <w:sz w:val="24"/>
                <w:szCs w:val="24"/>
              </w:rPr>
            </w:pPr>
            <w:r w:rsidRPr="00C316F8">
              <w:rPr>
                <w:rFonts w:cstheme="minorHAnsi"/>
                <w:sz w:val="24"/>
                <w:szCs w:val="24"/>
              </w:rPr>
              <w:t>163.09</w:t>
            </w:r>
          </w:p>
        </w:tc>
        <w:tc>
          <w:tcPr>
            <w:tcW w:w="1012" w:type="dxa"/>
            <w:tcBorders>
              <w:top w:val="single" w:sz="4" w:space="0" w:color="auto"/>
              <w:left w:val="single" w:sz="4" w:space="0" w:color="auto"/>
              <w:bottom w:val="single" w:sz="4" w:space="0" w:color="auto"/>
              <w:right w:val="single" w:sz="4" w:space="0" w:color="auto"/>
            </w:tcBorders>
            <w:shd w:val="clear" w:color="auto" w:fill="auto"/>
          </w:tcPr>
          <w:p w14:paraId="06B877BD" w14:textId="77777777" w:rsidR="005D512A" w:rsidRPr="00C316F8" w:rsidRDefault="005D512A" w:rsidP="003B711F">
            <w:pPr>
              <w:jc w:val="both"/>
              <w:rPr>
                <w:rFonts w:cstheme="minorHAnsi"/>
                <w:color w:val="000000"/>
                <w:sz w:val="24"/>
                <w:szCs w:val="24"/>
              </w:rPr>
            </w:pPr>
            <w:r w:rsidRPr="00C316F8">
              <w:rPr>
                <w:rFonts w:cstheme="minorHAnsi"/>
                <w:sz w:val="24"/>
                <w:szCs w:val="24"/>
              </w:rPr>
              <w:t>0.0005</w:t>
            </w:r>
          </w:p>
        </w:tc>
      </w:tr>
      <w:tr w:rsidR="005D512A" w:rsidRPr="00C316F8" w14:paraId="6AF3FAF9" w14:textId="77777777" w:rsidTr="001444F0">
        <w:tc>
          <w:tcPr>
            <w:tcW w:w="1737" w:type="dxa"/>
            <w:vMerge w:val="restart"/>
          </w:tcPr>
          <w:p w14:paraId="52175029" w14:textId="77777777" w:rsidR="005D512A" w:rsidRPr="00C316F8" w:rsidRDefault="005D512A" w:rsidP="003B711F">
            <w:pPr>
              <w:jc w:val="both"/>
              <w:rPr>
                <w:rFonts w:cstheme="minorHAnsi"/>
                <w:sz w:val="24"/>
                <w:szCs w:val="24"/>
              </w:rPr>
            </w:pPr>
            <w:r w:rsidRPr="00C316F8">
              <w:rPr>
                <w:rFonts w:cstheme="minorHAnsi"/>
                <w:sz w:val="24"/>
                <w:szCs w:val="24"/>
              </w:rPr>
              <w:t>Household education conditions</w:t>
            </w:r>
          </w:p>
        </w:tc>
        <w:tc>
          <w:tcPr>
            <w:tcW w:w="1791" w:type="dxa"/>
          </w:tcPr>
          <w:p w14:paraId="636B03A4" w14:textId="77777777" w:rsidR="005D512A" w:rsidRPr="00C316F8" w:rsidRDefault="005D512A" w:rsidP="003B711F">
            <w:pPr>
              <w:jc w:val="both"/>
              <w:rPr>
                <w:rFonts w:cstheme="minorHAnsi"/>
                <w:sz w:val="24"/>
                <w:szCs w:val="24"/>
              </w:rPr>
            </w:pPr>
            <w:r w:rsidRPr="00C316F8">
              <w:rPr>
                <w:rFonts w:cstheme="minorHAnsi"/>
                <w:sz w:val="24"/>
                <w:szCs w:val="24"/>
              </w:rPr>
              <w:t>Low educational achievement</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1B77A71D" w14:textId="77777777" w:rsidR="005D512A" w:rsidRPr="00C316F8" w:rsidRDefault="005D512A" w:rsidP="003B711F">
            <w:pPr>
              <w:jc w:val="both"/>
              <w:rPr>
                <w:rFonts w:cstheme="minorHAnsi"/>
                <w:sz w:val="24"/>
                <w:szCs w:val="24"/>
              </w:rPr>
            </w:pPr>
            <w:r w:rsidRPr="00C316F8">
              <w:rPr>
                <w:rFonts w:cstheme="minorHAnsi"/>
                <w:color w:val="000000"/>
                <w:sz w:val="24"/>
                <w:szCs w:val="24"/>
              </w:rPr>
              <w:t>-1.54</w:t>
            </w:r>
          </w:p>
        </w:tc>
        <w:tc>
          <w:tcPr>
            <w:tcW w:w="1373" w:type="dxa"/>
            <w:tcBorders>
              <w:top w:val="single" w:sz="4" w:space="0" w:color="auto"/>
              <w:left w:val="nil"/>
              <w:bottom w:val="single" w:sz="4" w:space="0" w:color="auto"/>
              <w:right w:val="single" w:sz="4" w:space="0" w:color="auto"/>
            </w:tcBorders>
            <w:shd w:val="clear" w:color="auto" w:fill="auto"/>
            <w:vAlign w:val="bottom"/>
          </w:tcPr>
          <w:p w14:paraId="5852B2AA" w14:textId="77777777" w:rsidR="005D512A" w:rsidRPr="00C316F8" w:rsidRDefault="005D512A" w:rsidP="003B711F">
            <w:pPr>
              <w:jc w:val="both"/>
              <w:rPr>
                <w:rFonts w:cstheme="minorHAnsi"/>
                <w:sz w:val="24"/>
                <w:szCs w:val="24"/>
              </w:rPr>
            </w:pPr>
            <w:r w:rsidRPr="00C316F8">
              <w:rPr>
                <w:rFonts w:cstheme="minorHAnsi"/>
                <w:color w:val="000000"/>
                <w:sz w:val="24"/>
                <w:szCs w:val="24"/>
              </w:rPr>
              <w:t>-1.89</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bottom"/>
          </w:tcPr>
          <w:p w14:paraId="779D0742" w14:textId="77777777" w:rsidR="005D512A" w:rsidRPr="00C316F8" w:rsidRDefault="005D512A" w:rsidP="003B711F">
            <w:pPr>
              <w:jc w:val="both"/>
              <w:rPr>
                <w:rFonts w:cstheme="minorHAnsi"/>
                <w:sz w:val="24"/>
                <w:szCs w:val="24"/>
              </w:rPr>
            </w:pPr>
            <w:r w:rsidRPr="00C316F8">
              <w:rPr>
                <w:rFonts w:cstheme="minorHAnsi"/>
                <w:color w:val="000000"/>
                <w:sz w:val="24"/>
                <w:szCs w:val="24"/>
              </w:rPr>
              <w:t>-1.19</w:t>
            </w:r>
          </w:p>
        </w:tc>
        <w:tc>
          <w:tcPr>
            <w:tcW w:w="1012" w:type="dxa"/>
            <w:tcBorders>
              <w:top w:val="single" w:sz="4" w:space="0" w:color="auto"/>
              <w:left w:val="single" w:sz="4" w:space="0" w:color="auto"/>
              <w:bottom w:val="single" w:sz="4" w:space="0" w:color="auto"/>
              <w:right w:val="single" w:sz="4" w:space="0" w:color="auto"/>
            </w:tcBorders>
            <w:shd w:val="clear" w:color="auto" w:fill="auto"/>
            <w:vAlign w:val="bottom"/>
          </w:tcPr>
          <w:p w14:paraId="5E2C7792" w14:textId="77777777" w:rsidR="005D512A" w:rsidRPr="00C316F8" w:rsidRDefault="005D512A" w:rsidP="003B711F">
            <w:pPr>
              <w:jc w:val="both"/>
              <w:rPr>
                <w:rFonts w:cstheme="minorHAnsi"/>
                <w:sz w:val="24"/>
                <w:szCs w:val="24"/>
              </w:rPr>
            </w:pPr>
            <w:r w:rsidRPr="00C316F8">
              <w:rPr>
                <w:rFonts w:cstheme="minorHAnsi"/>
                <w:color w:val="000000"/>
                <w:sz w:val="24"/>
                <w:szCs w:val="24"/>
              </w:rPr>
              <w:t>&lt;0.0005</w:t>
            </w:r>
          </w:p>
        </w:tc>
      </w:tr>
      <w:tr w:rsidR="005D512A" w:rsidRPr="00C316F8" w14:paraId="634A3C72" w14:textId="77777777" w:rsidTr="001444F0">
        <w:tc>
          <w:tcPr>
            <w:tcW w:w="1737" w:type="dxa"/>
            <w:vMerge/>
          </w:tcPr>
          <w:p w14:paraId="2CF0019E" w14:textId="77777777" w:rsidR="005D512A" w:rsidRPr="00C316F8" w:rsidRDefault="005D512A" w:rsidP="003B711F">
            <w:pPr>
              <w:jc w:val="both"/>
              <w:rPr>
                <w:rFonts w:cstheme="minorHAnsi"/>
                <w:sz w:val="24"/>
                <w:szCs w:val="24"/>
              </w:rPr>
            </w:pPr>
          </w:p>
        </w:tc>
        <w:tc>
          <w:tcPr>
            <w:tcW w:w="1791" w:type="dxa"/>
          </w:tcPr>
          <w:p w14:paraId="0E7AD841" w14:textId="77777777" w:rsidR="005D512A" w:rsidRPr="00C316F8" w:rsidRDefault="005D512A" w:rsidP="003B711F">
            <w:pPr>
              <w:jc w:val="both"/>
              <w:rPr>
                <w:rFonts w:cstheme="minorHAnsi"/>
                <w:sz w:val="24"/>
                <w:szCs w:val="24"/>
              </w:rPr>
            </w:pPr>
            <w:r w:rsidRPr="00C316F8">
              <w:rPr>
                <w:rFonts w:cstheme="minorHAnsi"/>
                <w:sz w:val="24"/>
                <w:szCs w:val="24"/>
              </w:rPr>
              <w:t>Illiteracy</w:t>
            </w:r>
          </w:p>
        </w:tc>
        <w:tc>
          <w:tcPr>
            <w:tcW w:w="1560" w:type="dxa"/>
          </w:tcPr>
          <w:p w14:paraId="19C6DE87" w14:textId="77777777" w:rsidR="005D512A" w:rsidRPr="00C316F8" w:rsidRDefault="005D512A" w:rsidP="003B711F">
            <w:pPr>
              <w:jc w:val="both"/>
              <w:rPr>
                <w:rFonts w:cstheme="minorHAnsi"/>
                <w:sz w:val="24"/>
                <w:szCs w:val="24"/>
              </w:rPr>
            </w:pPr>
            <w:r w:rsidRPr="00C316F8">
              <w:rPr>
                <w:rFonts w:cstheme="minorHAnsi"/>
                <w:sz w:val="24"/>
                <w:szCs w:val="24"/>
              </w:rPr>
              <w:t>-0.20</w:t>
            </w:r>
          </w:p>
        </w:tc>
        <w:tc>
          <w:tcPr>
            <w:tcW w:w="1373" w:type="dxa"/>
            <w:tcBorders>
              <w:top w:val="single" w:sz="4" w:space="0" w:color="auto"/>
            </w:tcBorders>
          </w:tcPr>
          <w:p w14:paraId="7D539B42" w14:textId="77777777" w:rsidR="005D512A" w:rsidRPr="00C316F8" w:rsidRDefault="005D512A" w:rsidP="003B711F">
            <w:pPr>
              <w:jc w:val="both"/>
              <w:rPr>
                <w:rFonts w:cstheme="minorHAnsi"/>
                <w:sz w:val="24"/>
                <w:szCs w:val="24"/>
              </w:rPr>
            </w:pPr>
            <w:r w:rsidRPr="00C316F8">
              <w:rPr>
                <w:rFonts w:cstheme="minorHAnsi"/>
                <w:sz w:val="24"/>
                <w:szCs w:val="24"/>
              </w:rPr>
              <w:t>-0.75</w:t>
            </w:r>
          </w:p>
        </w:tc>
        <w:tc>
          <w:tcPr>
            <w:tcW w:w="1355" w:type="dxa"/>
            <w:tcBorders>
              <w:top w:val="single" w:sz="4" w:space="0" w:color="auto"/>
            </w:tcBorders>
          </w:tcPr>
          <w:p w14:paraId="0B78385A" w14:textId="77777777" w:rsidR="005D512A" w:rsidRPr="00C316F8" w:rsidRDefault="005D512A" w:rsidP="003B711F">
            <w:pPr>
              <w:jc w:val="both"/>
              <w:rPr>
                <w:rFonts w:cstheme="minorHAnsi"/>
                <w:sz w:val="24"/>
                <w:szCs w:val="24"/>
              </w:rPr>
            </w:pPr>
            <w:r w:rsidRPr="00C316F8">
              <w:rPr>
                <w:rFonts w:cstheme="minorHAnsi"/>
                <w:sz w:val="24"/>
                <w:szCs w:val="24"/>
              </w:rPr>
              <w:t>0.35</w:t>
            </w:r>
          </w:p>
        </w:tc>
        <w:tc>
          <w:tcPr>
            <w:tcW w:w="1012" w:type="dxa"/>
            <w:tcBorders>
              <w:top w:val="single" w:sz="4" w:space="0" w:color="auto"/>
            </w:tcBorders>
          </w:tcPr>
          <w:p w14:paraId="1E169476" w14:textId="77777777" w:rsidR="005D512A" w:rsidRPr="00C316F8" w:rsidRDefault="005D512A" w:rsidP="003B711F">
            <w:pPr>
              <w:jc w:val="both"/>
              <w:rPr>
                <w:rFonts w:cstheme="minorHAnsi"/>
                <w:sz w:val="24"/>
                <w:szCs w:val="24"/>
              </w:rPr>
            </w:pPr>
            <w:r w:rsidRPr="00C316F8">
              <w:rPr>
                <w:rFonts w:cstheme="minorHAnsi"/>
                <w:sz w:val="24"/>
                <w:szCs w:val="24"/>
              </w:rPr>
              <w:t>0.47</w:t>
            </w:r>
          </w:p>
        </w:tc>
      </w:tr>
      <w:tr w:rsidR="005D512A" w:rsidRPr="00C316F8" w14:paraId="27370F25" w14:textId="77777777" w:rsidTr="001444F0">
        <w:tc>
          <w:tcPr>
            <w:tcW w:w="1737" w:type="dxa"/>
            <w:vMerge w:val="restart"/>
          </w:tcPr>
          <w:p w14:paraId="31FDC97E" w14:textId="77777777" w:rsidR="005D512A" w:rsidRPr="00C316F8" w:rsidRDefault="005D512A" w:rsidP="003B711F">
            <w:pPr>
              <w:jc w:val="both"/>
              <w:rPr>
                <w:rFonts w:cstheme="minorHAnsi"/>
                <w:sz w:val="24"/>
                <w:szCs w:val="24"/>
              </w:rPr>
            </w:pPr>
            <w:r w:rsidRPr="00C316F8">
              <w:rPr>
                <w:rFonts w:cstheme="minorHAnsi"/>
                <w:sz w:val="24"/>
                <w:szCs w:val="24"/>
              </w:rPr>
              <w:t>Childhood and youth conditions</w:t>
            </w:r>
          </w:p>
        </w:tc>
        <w:tc>
          <w:tcPr>
            <w:tcW w:w="1791" w:type="dxa"/>
          </w:tcPr>
          <w:p w14:paraId="7027A5B6" w14:textId="77777777" w:rsidR="005D512A" w:rsidRPr="00C316F8" w:rsidRDefault="005D512A" w:rsidP="003B711F">
            <w:pPr>
              <w:jc w:val="both"/>
              <w:rPr>
                <w:rFonts w:cstheme="minorHAnsi"/>
                <w:sz w:val="24"/>
                <w:szCs w:val="24"/>
              </w:rPr>
            </w:pPr>
            <w:r w:rsidRPr="00C316F8">
              <w:rPr>
                <w:rFonts w:cstheme="minorHAnsi"/>
                <w:sz w:val="24"/>
                <w:szCs w:val="24"/>
              </w:rPr>
              <w:t>School non-attendance</w:t>
            </w:r>
          </w:p>
        </w:tc>
        <w:tc>
          <w:tcPr>
            <w:tcW w:w="1560" w:type="dxa"/>
          </w:tcPr>
          <w:p w14:paraId="3C0D2723" w14:textId="77777777" w:rsidR="005D512A" w:rsidRPr="00C316F8" w:rsidRDefault="005D512A" w:rsidP="003B711F">
            <w:pPr>
              <w:jc w:val="both"/>
              <w:rPr>
                <w:rFonts w:cstheme="minorHAnsi"/>
                <w:sz w:val="24"/>
                <w:szCs w:val="24"/>
              </w:rPr>
            </w:pPr>
            <w:r w:rsidRPr="00C316F8">
              <w:rPr>
                <w:rFonts w:cstheme="minorHAnsi"/>
                <w:sz w:val="24"/>
                <w:szCs w:val="24"/>
              </w:rPr>
              <w:t>1.45</w:t>
            </w:r>
          </w:p>
        </w:tc>
        <w:tc>
          <w:tcPr>
            <w:tcW w:w="1373" w:type="dxa"/>
          </w:tcPr>
          <w:p w14:paraId="5FA33278" w14:textId="77777777" w:rsidR="005D512A" w:rsidRPr="00C316F8" w:rsidRDefault="005D512A" w:rsidP="003B711F">
            <w:pPr>
              <w:jc w:val="both"/>
              <w:rPr>
                <w:rFonts w:cstheme="minorHAnsi"/>
                <w:sz w:val="24"/>
                <w:szCs w:val="24"/>
              </w:rPr>
            </w:pPr>
            <w:r w:rsidRPr="00C316F8">
              <w:rPr>
                <w:rFonts w:cstheme="minorHAnsi"/>
                <w:sz w:val="24"/>
                <w:szCs w:val="24"/>
              </w:rPr>
              <w:t>0.38</w:t>
            </w:r>
          </w:p>
        </w:tc>
        <w:tc>
          <w:tcPr>
            <w:tcW w:w="1355" w:type="dxa"/>
          </w:tcPr>
          <w:p w14:paraId="12D40DBF" w14:textId="77777777" w:rsidR="005D512A" w:rsidRPr="00C316F8" w:rsidRDefault="005D512A" w:rsidP="003B711F">
            <w:pPr>
              <w:jc w:val="both"/>
              <w:rPr>
                <w:rFonts w:cstheme="minorHAnsi"/>
                <w:sz w:val="24"/>
                <w:szCs w:val="24"/>
              </w:rPr>
            </w:pPr>
            <w:r w:rsidRPr="00C316F8">
              <w:rPr>
                <w:rFonts w:cstheme="minorHAnsi"/>
                <w:sz w:val="24"/>
                <w:szCs w:val="24"/>
              </w:rPr>
              <w:t>2.52</w:t>
            </w:r>
          </w:p>
        </w:tc>
        <w:tc>
          <w:tcPr>
            <w:tcW w:w="1012" w:type="dxa"/>
          </w:tcPr>
          <w:p w14:paraId="6C201E4B" w14:textId="77777777" w:rsidR="005D512A" w:rsidRPr="00C316F8" w:rsidRDefault="005D512A" w:rsidP="003B711F">
            <w:pPr>
              <w:jc w:val="both"/>
              <w:rPr>
                <w:rFonts w:cstheme="minorHAnsi"/>
                <w:sz w:val="24"/>
                <w:szCs w:val="24"/>
              </w:rPr>
            </w:pPr>
            <w:r w:rsidRPr="00C316F8">
              <w:rPr>
                <w:rFonts w:cstheme="minorHAnsi"/>
                <w:sz w:val="24"/>
                <w:szCs w:val="24"/>
              </w:rPr>
              <w:t>0.007</w:t>
            </w:r>
          </w:p>
        </w:tc>
      </w:tr>
      <w:tr w:rsidR="005D512A" w:rsidRPr="00C316F8" w14:paraId="444E84AE" w14:textId="77777777" w:rsidTr="001444F0">
        <w:tc>
          <w:tcPr>
            <w:tcW w:w="1737" w:type="dxa"/>
            <w:vMerge/>
          </w:tcPr>
          <w:p w14:paraId="064CC780" w14:textId="77777777" w:rsidR="005D512A" w:rsidRPr="00C316F8" w:rsidRDefault="005D512A" w:rsidP="003B711F">
            <w:pPr>
              <w:jc w:val="both"/>
              <w:rPr>
                <w:rFonts w:cstheme="minorHAnsi"/>
                <w:sz w:val="24"/>
                <w:szCs w:val="24"/>
              </w:rPr>
            </w:pPr>
          </w:p>
        </w:tc>
        <w:tc>
          <w:tcPr>
            <w:tcW w:w="1791" w:type="dxa"/>
          </w:tcPr>
          <w:p w14:paraId="4A8E30CC" w14:textId="77777777" w:rsidR="005D512A" w:rsidRPr="00C316F8" w:rsidRDefault="005D512A" w:rsidP="003B711F">
            <w:pPr>
              <w:jc w:val="both"/>
              <w:rPr>
                <w:rFonts w:cstheme="minorHAnsi"/>
                <w:sz w:val="24"/>
                <w:szCs w:val="24"/>
              </w:rPr>
            </w:pPr>
            <w:r w:rsidRPr="00C316F8">
              <w:rPr>
                <w:rFonts w:cstheme="minorHAnsi"/>
                <w:sz w:val="24"/>
                <w:szCs w:val="24"/>
              </w:rPr>
              <w:t>School lag</w:t>
            </w:r>
          </w:p>
        </w:tc>
        <w:tc>
          <w:tcPr>
            <w:tcW w:w="1560" w:type="dxa"/>
          </w:tcPr>
          <w:p w14:paraId="4BF2DDE5" w14:textId="77777777" w:rsidR="005D512A" w:rsidRPr="00C316F8" w:rsidRDefault="005D512A" w:rsidP="003B711F">
            <w:pPr>
              <w:jc w:val="both"/>
              <w:rPr>
                <w:rFonts w:cstheme="minorHAnsi"/>
                <w:sz w:val="24"/>
                <w:szCs w:val="24"/>
              </w:rPr>
            </w:pPr>
            <w:r w:rsidRPr="00C316F8">
              <w:rPr>
                <w:rFonts w:cstheme="minorHAnsi"/>
                <w:sz w:val="24"/>
                <w:szCs w:val="24"/>
              </w:rPr>
              <w:t>-0.60</w:t>
            </w:r>
          </w:p>
        </w:tc>
        <w:tc>
          <w:tcPr>
            <w:tcW w:w="1373" w:type="dxa"/>
          </w:tcPr>
          <w:p w14:paraId="3F378796" w14:textId="77777777" w:rsidR="005D512A" w:rsidRPr="00C316F8" w:rsidRDefault="005D512A" w:rsidP="003B711F">
            <w:pPr>
              <w:jc w:val="both"/>
              <w:rPr>
                <w:rFonts w:cstheme="minorHAnsi"/>
                <w:sz w:val="24"/>
                <w:szCs w:val="24"/>
              </w:rPr>
            </w:pPr>
            <w:r w:rsidRPr="00C316F8">
              <w:rPr>
                <w:rFonts w:cstheme="minorHAnsi"/>
                <w:sz w:val="24"/>
                <w:szCs w:val="24"/>
              </w:rPr>
              <w:t>-1.21</w:t>
            </w:r>
          </w:p>
        </w:tc>
        <w:tc>
          <w:tcPr>
            <w:tcW w:w="1355" w:type="dxa"/>
          </w:tcPr>
          <w:p w14:paraId="505966D3" w14:textId="77777777" w:rsidR="005D512A" w:rsidRPr="00C316F8" w:rsidRDefault="005D512A" w:rsidP="003B711F">
            <w:pPr>
              <w:jc w:val="both"/>
              <w:rPr>
                <w:rFonts w:cstheme="minorHAnsi"/>
                <w:sz w:val="24"/>
                <w:szCs w:val="24"/>
              </w:rPr>
            </w:pPr>
            <w:r w:rsidRPr="00C316F8">
              <w:rPr>
                <w:rFonts w:cstheme="minorHAnsi"/>
                <w:sz w:val="24"/>
                <w:szCs w:val="24"/>
              </w:rPr>
              <w:t>0.02</w:t>
            </w:r>
          </w:p>
        </w:tc>
        <w:tc>
          <w:tcPr>
            <w:tcW w:w="1012" w:type="dxa"/>
          </w:tcPr>
          <w:p w14:paraId="10CA849F" w14:textId="77777777" w:rsidR="005D512A" w:rsidRPr="00C316F8" w:rsidRDefault="005D512A" w:rsidP="003B711F">
            <w:pPr>
              <w:jc w:val="both"/>
              <w:rPr>
                <w:rFonts w:cstheme="minorHAnsi"/>
                <w:sz w:val="24"/>
                <w:szCs w:val="24"/>
              </w:rPr>
            </w:pPr>
            <w:r w:rsidRPr="00C316F8">
              <w:rPr>
                <w:rFonts w:cstheme="minorHAnsi"/>
                <w:sz w:val="24"/>
                <w:szCs w:val="24"/>
              </w:rPr>
              <w:t>0.05</w:t>
            </w:r>
          </w:p>
        </w:tc>
      </w:tr>
      <w:tr w:rsidR="005D512A" w:rsidRPr="00C316F8" w14:paraId="019F38BA" w14:textId="77777777" w:rsidTr="001444F0">
        <w:tc>
          <w:tcPr>
            <w:tcW w:w="1737" w:type="dxa"/>
            <w:vMerge/>
          </w:tcPr>
          <w:p w14:paraId="1344D48A" w14:textId="77777777" w:rsidR="005D512A" w:rsidRPr="00C316F8" w:rsidRDefault="005D512A" w:rsidP="003B711F">
            <w:pPr>
              <w:jc w:val="both"/>
              <w:rPr>
                <w:rFonts w:cstheme="minorHAnsi"/>
                <w:sz w:val="24"/>
                <w:szCs w:val="24"/>
              </w:rPr>
            </w:pPr>
          </w:p>
        </w:tc>
        <w:tc>
          <w:tcPr>
            <w:tcW w:w="1791" w:type="dxa"/>
          </w:tcPr>
          <w:p w14:paraId="529A76FE" w14:textId="77777777" w:rsidR="005D512A" w:rsidRPr="00C316F8" w:rsidRDefault="005D512A" w:rsidP="003B711F">
            <w:pPr>
              <w:jc w:val="both"/>
              <w:rPr>
                <w:rFonts w:cstheme="minorHAnsi"/>
                <w:sz w:val="24"/>
                <w:szCs w:val="24"/>
              </w:rPr>
            </w:pPr>
            <w:r w:rsidRPr="00C316F8">
              <w:rPr>
                <w:rFonts w:cstheme="minorHAnsi"/>
                <w:sz w:val="24"/>
                <w:szCs w:val="24"/>
              </w:rPr>
              <w:t>Barriers to access for early childhood care</w:t>
            </w:r>
          </w:p>
        </w:tc>
        <w:tc>
          <w:tcPr>
            <w:tcW w:w="1560" w:type="dxa"/>
          </w:tcPr>
          <w:p w14:paraId="0AD3C558" w14:textId="77777777" w:rsidR="005D512A" w:rsidRPr="00C316F8" w:rsidRDefault="005D512A" w:rsidP="003B711F">
            <w:pPr>
              <w:jc w:val="both"/>
              <w:rPr>
                <w:rFonts w:cstheme="minorHAnsi"/>
                <w:sz w:val="24"/>
                <w:szCs w:val="24"/>
              </w:rPr>
            </w:pPr>
            <w:r w:rsidRPr="00C316F8">
              <w:rPr>
                <w:rFonts w:cstheme="minorHAnsi"/>
                <w:sz w:val="24"/>
                <w:szCs w:val="24"/>
              </w:rPr>
              <w:t>-2.03</w:t>
            </w:r>
          </w:p>
        </w:tc>
        <w:tc>
          <w:tcPr>
            <w:tcW w:w="1373" w:type="dxa"/>
          </w:tcPr>
          <w:p w14:paraId="794676FD" w14:textId="77777777" w:rsidR="005D512A" w:rsidRPr="00C316F8" w:rsidRDefault="005D512A" w:rsidP="003B711F">
            <w:pPr>
              <w:jc w:val="both"/>
              <w:rPr>
                <w:rFonts w:cstheme="minorHAnsi"/>
                <w:sz w:val="24"/>
                <w:szCs w:val="24"/>
              </w:rPr>
            </w:pPr>
            <w:r w:rsidRPr="00C316F8">
              <w:rPr>
                <w:rFonts w:cstheme="minorHAnsi"/>
                <w:sz w:val="24"/>
                <w:szCs w:val="24"/>
              </w:rPr>
              <w:t>-3.88</w:t>
            </w:r>
          </w:p>
        </w:tc>
        <w:tc>
          <w:tcPr>
            <w:tcW w:w="1355" w:type="dxa"/>
          </w:tcPr>
          <w:p w14:paraId="1F4FC6B1" w14:textId="77777777" w:rsidR="005D512A" w:rsidRPr="00C316F8" w:rsidRDefault="005D512A" w:rsidP="003B711F">
            <w:pPr>
              <w:jc w:val="both"/>
              <w:rPr>
                <w:rFonts w:cstheme="minorHAnsi"/>
                <w:sz w:val="24"/>
                <w:szCs w:val="24"/>
              </w:rPr>
            </w:pPr>
            <w:r w:rsidRPr="00C316F8">
              <w:rPr>
                <w:rFonts w:cstheme="minorHAnsi"/>
                <w:sz w:val="24"/>
                <w:szCs w:val="24"/>
              </w:rPr>
              <w:t>-0.18</w:t>
            </w:r>
          </w:p>
        </w:tc>
        <w:tc>
          <w:tcPr>
            <w:tcW w:w="1012" w:type="dxa"/>
          </w:tcPr>
          <w:p w14:paraId="528634AA" w14:textId="77777777" w:rsidR="005D512A" w:rsidRPr="00C316F8" w:rsidRDefault="005D512A" w:rsidP="003B711F">
            <w:pPr>
              <w:jc w:val="both"/>
              <w:rPr>
                <w:rFonts w:cstheme="minorHAnsi"/>
                <w:sz w:val="24"/>
                <w:szCs w:val="24"/>
              </w:rPr>
            </w:pPr>
            <w:r w:rsidRPr="00C316F8">
              <w:rPr>
                <w:rFonts w:cstheme="minorHAnsi"/>
                <w:sz w:val="24"/>
                <w:szCs w:val="24"/>
              </w:rPr>
              <w:t>0.03</w:t>
            </w:r>
          </w:p>
        </w:tc>
      </w:tr>
      <w:tr w:rsidR="005D512A" w:rsidRPr="00C316F8" w14:paraId="35FD1706" w14:textId="77777777" w:rsidTr="001444F0">
        <w:tc>
          <w:tcPr>
            <w:tcW w:w="1737" w:type="dxa"/>
            <w:vMerge/>
          </w:tcPr>
          <w:p w14:paraId="544FD850" w14:textId="77777777" w:rsidR="005D512A" w:rsidRPr="00C316F8" w:rsidRDefault="005D512A" w:rsidP="003B711F">
            <w:pPr>
              <w:jc w:val="both"/>
              <w:rPr>
                <w:rFonts w:cstheme="minorHAnsi"/>
                <w:sz w:val="24"/>
                <w:szCs w:val="24"/>
              </w:rPr>
            </w:pPr>
          </w:p>
        </w:tc>
        <w:tc>
          <w:tcPr>
            <w:tcW w:w="1791" w:type="dxa"/>
          </w:tcPr>
          <w:p w14:paraId="162A5D5E" w14:textId="77777777" w:rsidR="005D512A" w:rsidRPr="00C316F8" w:rsidRDefault="005D512A" w:rsidP="003B711F">
            <w:pPr>
              <w:jc w:val="both"/>
              <w:rPr>
                <w:rFonts w:cstheme="minorHAnsi"/>
                <w:sz w:val="24"/>
                <w:szCs w:val="24"/>
              </w:rPr>
            </w:pPr>
            <w:r w:rsidRPr="00C316F8">
              <w:rPr>
                <w:rFonts w:cstheme="minorHAnsi"/>
                <w:sz w:val="24"/>
                <w:szCs w:val="24"/>
              </w:rPr>
              <w:t>Child labor</w:t>
            </w:r>
          </w:p>
        </w:tc>
        <w:tc>
          <w:tcPr>
            <w:tcW w:w="1560" w:type="dxa"/>
          </w:tcPr>
          <w:p w14:paraId="724C9817" w14:textId="77777777" w:rsidR="005D512A" w:rsidRPr="00C316F8" w:rsidRDefault="005D512A" w:rsidP="003B711F">
            <w:pPr>
              <w:jc w:val="both"/>
              <w:rPr>
                <w:rFonts w:cstheme="minorHAnsi"/>
                <w:sz w:val="24"/>
                <w:szCs w:val="24"/>
              </w:rPr>
            </w:pPr>
            <w:r w:rsidRPr="00C316F8">
              <w:rPr>
                <w:rFonts w:cstheme="minorHAnsi"/>
                <w:sz w:val="24"/>
                <w:szCs w:val="24"/>
              </w:rPr>
              <w:t>-4.12</w:t>
            </w:r>
          </w:p>
        </w:tc>
        <w:tc>
          <w:tcPr>
            <w:tcW w:w="1373" w:type="dxa"/>
          </w:tcPr>
          <w:p w14:paraId="7F73AC5A" w14:textId="77777777" w:rsidR="005D512A" w:rsidRPr="00C316F8" w:rsidRDefault="005D512A" w:rsidP="003B711F">
            <w:pPr>
              <w:jc w:val="both"/>
              <w:rPr>
                <w:rFonts w:cstheme="minorHAnsi"/>
                <w:sz w:val="24"/>
                <w:szCs w:val="24"/>
              </w:rPr>
            </w:pPr>
            <w:r w:rsidRPr="00C316F8">
              <w:rPr>
                <w:rFonts w:cstheme="minorHAnsi"/>
                <w:sz w:val="24"/>
                <w:szCs w:val="24"/>
              </w:rPr>
              <w:t>-6.88</w:t>
            </w:r>
          </w:p>
        </w:tc>
        <w:tc>
          <w:tcPr>
            <w:tcW w:w="1355" w:type="dxa"/>
          </w:tcPr>
          <w:p w14:paraId="13A7FE98" w14:textId="77777777" w:rsidR="005D512A" w:rsidRPr="00C316F8" w:rsidRDefault="005D512A" w:rsidP="003B711F">
            <w:pPr>
              <w:jc w:val="both"/>
              <w:rPr>
                <w:rFonts w:cstheme="minorHAnsi"/>
                <w:sz w:val="24"/>
                <w:szCs w:val="24"/>
              </w:rPr>
            </w:pPr>
            <w:r w:rsidRPr="00C316F8">
              <w:rPr>
                <w:rFonts w:cstheme="minorHAnsi"/>
                <w:sz w:val="24"/>
                <w:szCs w:val="24"/>
              </w:rPr>
              <w:t>-1.36</w:t>
            </w:r>
          </w:p>
        </w:tc>
        <w:tc>
          <w:tcPr>
            <w:tcW w:w="1012" w:type="dxa"/>
          </w:tcPr>
          <w:p w14:paraId="2EDED779" w14:textId="77777777" w:rsidR="005D512A" w:rsidRPr="00C316F8" w:rsidRDefault="005D512A" w:rsidP="003B711F">
            <w:pPr>
              <w:jc w:val="both"/>
              <w:rPr>
                <w:rFonts w:cstheme="minorHAnsi"/>
                <w:sz w:val="24"/>
                <w:szCs w:val="24"/>
              </w:rPr>
            </w:pPr>
            <w:r w:rsidRPr="00C316F8">
              <w:rPr>
                <w:rFonts w:cstheme="minorHAnsi"/>
                <w:sz w:val="24"/>
                <w:szCs w:val="24"/>
              </w:rPr>
              <w:t>0.003</w:t>
            </w:r>
          </w:p>
        </w:tc>
      </w:tr>
      <w:tr w:rsidR="005D512A" w:rsidRPr="00C316F8" w14:paraId="585D7F35" w14:textId="77777777" w:rsidTr="001444F0">
        <w:tc>
          <w:tcPr>
            <w:tcW w:w="1737" w:type="dxa"/>
            <w:vMerge w:val="restart"/>
          </w:tcPr>
          <w:p w14:paraId="49690165" w14:textId="77777777" w:rsidR="005D512A" w:rsidRPr="00C316F8" w:rsidRDefault="005D512A" w:rsidP="003B711F">
            <w:pPr>
              <w:jc w:val="both"/>
              <w:rPr>
                <w:rFonts w:cstheme="minorHAnsi"/>
                <w:sz w:val="24"/>
                <w:szCs w:val="24"/>
              </w:rPr>
            </w:pPr>
            <w:r w:rsidRPr="00C316F8">
              <w:rPr>
                <w:rFonts w:cstheme="minorHAnsi"/>
                <w:sz w:val="24"/>
                <w:szCs w:val="24"/>
              </w:rPr>
              <w:t>Employment (0.2)</w:t>
            </w:r>
          </w:p>
        </w:tc>
        <w:tc>
          <w:tcPr>
            <w:tcW w:w="1791" w:type="dxa"/>
          </w:tcPr>
          <w:p w14:paraId="5C674CB7" w14:textId="77777777" w:rsidR="005D512A" w:rsidRPr="00C316F8" w:rsidRDefault="005D512A" w:rsidP="003B711F">
            <w:pPr>
              <w:jc w:val="both"/>
              <w:rPr>
                <w:rFonts w:cstheme="minorHAnsi"/>
                <w:sz w:val="24"/>
                <w:szCs w:val="24"/>
              </w:rPr>
            </w:pPr>
            <w:r w:rsidRPr="00C316F8">
              <w:rPr>
                <w:rFonts w:cstheme="minorHAnsi"/>
                <w:sz w:val="24"/>
                <w:szCs w:val="24"/>
              </w:rPr>
              <w:t>Long-term unemployment</w:t>
            </w:r>
          </w:p>
        </w:tc>
        <w:tc>
          <w:tcPr>
            <w:tcW w:w="1560" w:type="dxa"/>
          </w:tcPr>
          <w:p w14:paraId="01F6FE32" w14:textId="77777777" w:rsidR="005D512A" w:rsidRPr="00C316F8" w:rsidRDefault="005D512A" w:rsidP="003B711F">
            <w:pPr>
              <w:jc w:val="both"/>
              <w:rPr>
                <w:rFonts w:cstheme="minorHAnsi"/>
                <w:sz w:val="24"/>
                <w:szCs w:val="24"/>
              </w:rPr>
            </w:pPr>
            <w:r w:rsidRPr="00C316F8">
              <w:rPr>
                <w:rFonts w:cstheme="minorHAnsi"/>
                <w:sz w:val="24"/>
                <w:szCs w:val="24"/>
              </w:rPr>
              <w:t>-0.40</w:t>
            </w:r>
          </w:p>
        </w:tc>
        <w:tc>
          <w:tcPr>
            <w:tcW w:w="1373" w:type="dxa"/>
          </w:tcPr>
          <w:p w14:paraId="7B828559" w14:textId="77777777" w:rsidR="005D512A" w:rsidRPr="00C316F8" w:rsidRDefault="005D512A" w:rsidP="003B711F">
            <w:pPr>
              <w:jc w:val="both"/>
              <w:rPr>
                <w:rFonts w:cstheme="minorHAnsi"/>
                <w:sz w:val="24"/>
                <w:szCs w:val="24"/>
              </w:rPr>
            </w:pPr>
            <w:r w:rsidRPr="00C316F8">
              <w:rPr>
                <w:rFonts w:cstheme="minorHAnsi"/>
                <w:sz w:val="24"/>
                <w:szCs w:val="24"/>
              </w:rPr>
              <w:t>-0.83</w:t>
            </w:r>
          </w:p>
        </w:tc>
        <w:tc>
          <w:tcPr>
            <w:tcW w:w="1355" w:type="dxa"/>
          </w:tcPr>
          <w:p w14:paraId="5942A896" w14:textId="77777777" w:rsidR="005D512A" w:rsidRPr="00C316F8" w:rsidRDefault="005D512A" w:rsidP="003B711F">
            <w:pPr>
              <w:jc w:val="both"/>
              <w:rPr>
                <w:rFonts w:cstheme="minorHAnsi"/>
                <w:sz w:val="24"/>
                <w:szCs w:val="24"/>
              </w:rPr>
            </w:pPr>
            <w:r w:rsidRPr="00C316F8">
              <w:rPr>
                <w:rFonts w:cstheme="minorHAnsi"/>
                <w:sz w:val="24"/>
                <w:szCs w:val="24"/>
              </w:rPr>
              <w:t>0.03</w:t>
            </w:r>
          </w:p>
        </w:tc>
        <w:tc>
          <w:tcPr>
            <w:tcW w:w="1012" w:type="dxa"/>
          </w:tcPr>
          <w:p w14:paraId="6D4A59A2" w14:textId="77777777" w:rsidR="005D512A" w:rsidRPr="00C316F8" w:rsidRDefault="005D512A" w:rsidP="003B711F">
            <w:pPr>
              <w:jc w:val="both"/>
              <w:rPr>
                <w:rFonts w:cstheme="minorHAnsi"/>
                <w:sz w:val="24"/>
                <w:szCs w:val="24"/>
              </w:rPr>
            </w:pPr>
            <w:r w:rsidRPr="00C316F8">
              <w:rPr>
                <w:rFonts w:cstheme="minorHAnsi"/>
                <w:sz w:val="24"/>
                <w:szCs w:val="24"/>
              </w:rPr>
              <w:t>0.06</w:t>
            </w:r>
          </w:p>
        </w:tc>
      </w:tr>
      <w:tr w:rsidR="005D512A" w:rsidRPr="00C316F8" w14:paraId="555CBD78" w14:textId="77777777" w:rsidTr="001444F0">
        <w:tc>
          <w:tcPr>
            <w:tcW w:w="1737" w:type="dxa"/>
            <w:vMerge/>
          </w:tcPr>
          <w:p w14:paraId="15E5E8B3" w14:textId="77777777" w:rsidR="005D512A" w:rsidRPr="00C316F8" w:rsidRDefault="005D512A" w:rsidP="003B711F">
            <w:pPr>
              <w:jc w:val="both"/>
              <w:rPr>
                <w:rFonts w:cstheme="minorHAnsi"/>
                <w:sz w:val="24"/>
                <w:szCs w:val="24"/>
              </w:rPr>
            </w:pPr>
          </w:p>
        </w:tc>
        <w:tc>
          <w:tcPr>
            <w:tcW w:w="1791" w:type="dxa"/>
          </w:tcPr>
          <w:p w14:paraId="301CE9B4" w14:textId="77777777" w:rsidR="005D512A" w:rsidRPr="00C316F8" w:rsidRDefault="005D512A" w:rsidP="003B711F">
            <w:pPr>
              <w:jc w:val="both"/>
              <w:rPr>
                <w:rFonts w:cstheme="minorHAnsi"/>
                <w:sz w:val="24"/>
                <w:szCs w:val="24"/>
              </w:rPr>
            </w:pPr>
            <w:r w:rsidRPr="00C316F8">
              <w:rPr>
                <w:rFonts w:cstheme="minorHAnsi"/>
                <w:sz w:val="24"/>
                <w:szCs w:val="24"/>
              </w:rPr>
              <w:t>Informal employment</w:t>
            </w:r>
          </w:p>
        </w:tc>
        <w:tc>
          <w:tcPr>
            <w:tcW w:w="1560" w:type="dxa"/>
          </w:tcPr>
          <w:p w14:paraId="603E6D97" w14:textId="77777777" w:rsidR="005D512A" w:rsidRPr="00C316F8" w:rsidRDefault="005D512A" w:rsidP="003B711F">
            <w:pPr>
              <w:jc w:val="both"/>
              <w:rPr>
                <w:rFonts w:cstheme="minorHAnsi"/>
                <w:sz w:val="24"/>
                <w:szCs w:val="24"/>
              </w:rPr>
            </w:pPr>
            <w:r w:rsidRPr="00C316F8">
              <w:rPr>
                <w:rFonts w:cstheme="minorHAnsi"/>
                <w:sz w:val="24"/>
                <w:szCs w:val="24"/>
              </w:rPr>
              <w:t>0.76</w:t>
            </w:r>
          </w:p>
        </w:tc>
        <w:tc>
          <w:tcPr>
            <w:tcW w:w="1373" w:type="dxa"/>
          </w:tcPr>
          <w:p w14:paraId="55FF1378" w14:textId="77777777" w:rsidR="005D512A" w:rsidRPr="00C316F8" w:rsidRDefault="005D512A" w:rsidP="003B711F">
            <w:pPr>
              <w:jc w:val="both"/>
              <w:rPr>
                <w:rFonts w:cstheme="minorHAnsi"/>
                <w:sz w:val="24"/>
                <w:szCs w:val="24"/>
              </w:rPr>
            </w:pPr>
            <w:r w:rsidRPr="00C316F8">
              <w:rPr>
                <w:rFonts w:cstheme="minorHAnsi"/>
                <w:sz w:val="24"/>
                <w:szCs w:val="24"/>
              </w:rPr>
              <w:t>0.23</w:t>
            </w:r>
          </w:p>
        </w:tc>
        <w:tc>
          <w:tcPr>
            <w:tcW w:w="1355" w:type="dxa"/>
          </w:tcPr>
          <w:p w14:paraId="359AC5BA" w14:textId="77777777" w:rsidR="005D512A" w:rsidRPr="00C316F8" w:rsidRDefault="005D512A" w:rsidP="003B711F">
            <w:pPr>
              <w:jc w:val="both"/>
              <w:rPr>
                <w:rFonts w:cstheme="minorHAnsi"/>
                <w:sz w:val="24"/>
                <w:szCs w:val="24"/>
              </w:rPr>
            </w:pPr>
            <w:r w:rsidRPr="00C316F8">
              <w:rPr>
                <w:rFonts w:cstheme="minorHAnsi"/>
                <w:sz w:val="24"/>
                <w:szCs w:val="24"/>
              </w:rPr>
              <w:t>1.30</w:t>
            </w:r>
          </w:p>
        </w:tc>
        <w:tc>
          <w:tcPr>
            <w:tcW w:w="1012" w:type="dxa"/>
          </w:tcPr>
          <w:p w14:paraId="0DA02FF7" w14:textId="77777777" w:rsidR="005D512A" w:rsidRPr="00C316F8" w:rsidRDefault="005D512A" w:rsidP="003B711F">
            <w:pPr>
              <w:jc w:val="both"/>
              <w:rPr>
                <w:rFonts w:cstheme="minorHAnsi"/>
                <w:sz w:val="24"/>
                <w:szCs w:val="24"/>
              </w:rPr>
            </w:pPr>
            <w:r w:rsidRPr="00C316F8">
              <w:rPr>
                <w:rFonts w:cstheme="minorHAnsi"/>
                <w:sz w:val="24"/>
                <w:szCs w:val="24"/>
              </w:rPr>
              <w:t>0.005</w:t>
            </w:r>
          </w:p>
        </w:tc>
      </w:tr>
      <w:tr w:rsidR="005D512A" w:rsidRPr="00C316F8" w14:paraId="2A50B3B8" w14:textId="77777777" w:rsidTr="001444F0">
        <w:tc>
          <w:tcPr>
            <w:tcW w:w="1737" w:type="dxa"/>
            <w:vMerge w:val="restart"/>
          </w:tcPr>
          <w:p w14:paraId="61DD7AE9" w14:textId="77777777" w:rsidR="005D512A" w:rsidRPr="00C316F8" w:rsidRDefault="005D512A" w:rsidP="003B711F">
            <w:pPr>
              <w:jc w:val="both"/>
              <w:rPr>
                <w:rFonts w:cstheme="minorHAnsi"/>
                <w:sz w:val="24"/>
                <w:szCs w:val="24"/>
              </w:rPr>
            </w:pPr>
            <w:r w:rsidRPr="00C316F8">
              <w:rPr>
                <w:rFonts w:cstheme="minorHAnsi"/>
                <w:sz w:val="24"/>
                <w:szCs w:val="24"/>
              </w:rPr>
              <w:t>Health</w:t>
            </w:r>
          </w:p>
        </w:tc>
        <w:tc>
          <w:tcPr>
            <w:tcW w:w="1791" w:type="dxa"/>
          </w:tcPr>
          <w:p w14:paraId="08C12014" w14:textId="77777777" w:rsidR="005D512A" w:rsidRPr="00C316F8" w:rsidRDefault="005D512A" w:rsidP="003B711F">
            <w:pPr>
              <w:jc w:val="both"/>
              <w:rPr>
                <w:rFonts w:cstheme="minorHAnsi"/>
                <w:sz w:val="24"/>
                <w:szCs w:val="24"/>
              </w:rPr>
            </w:pPr>
            <w:r w:rsidRPr="00C316F8">
              <w:rPr>
                <w:rFonts w:cstheme="minorHAnsi"/>
                <w:sz w:val="24"/>
                <w:szCs w:val="24"/>
              </w:rPr>
              <w:t>No Health insurance</w:t>
            </w:r>
          </w:p>
        </w:tc>
        <w:tc>
          <w:tcPr>
            <w:tcW w:w="1560" w:type="dxa"/>
          </w:tcPr>
          <w:p w14:paraId="73F8542A" w14:textId="77777777" w:rsidR="005D512A" w:rsidRPr="00C316F8" w:rsidRDefault="005D512A" w:rsidP="003B711F">
            <w:pPr>
              <w:jc w:val="both"/>
              <w:rPr>
                <w:rFonts w:cstheme="minorHAnsi"/>
                <w:sz w:val="24"/>
                <w:szCs w:val="24"/>
              </w:rPr>
            </w:pPr>
            <w:r w:rsidRPr="00C316F8">
              <w:rPr>
                <w:rFonts w:cstheme="minorHAnsi"/>
                <w:sz w:val="24"/>
                <w:szCs w:val="24"/>
              </w:rPr>
              <w:t>0.79</w:t>
            </w:r>
          </w:p>
        </w:tc>
        <w:tc>
          <w:tcPr>
            <w:tcW w:w="1373" w:type="dxa"/>
          </w:tcPr>
          <w:p w14:paraId="18C1B23E" w14:textId="77777777" w:rsidR="005D512A" w:rsidRPr="00C316F8" w:rsidRDefault="005D512A" w:rsidP="003B711F">
            <w:pPr>
              <w:jc w:val="both"/>
              <w:rPr>
                <w:rFonts w:cstheme="minorHAnsi"/>
                <w:sz w:val="24"/>
                <w:szCs w:val="24"/>
              </w:rPr>
            </w:pPr>
            <w:r w:rsidRPr="00C316F8">
              <w:rPr>
                <w:rFonts w:cstheme="minorHAnsi"/>
                <w:sz w:val="24"/>
                <w:szCs w:val="24"/>
              </w:rPr>
              <w:t>0.04</w:t>
            </w:r>
          </w:p>
        </w:tc>
        <w:tc>
          <w:tcPr>
            <w:tcW w:w="1355" w:type="dxa"/>
          </w:tcPr>
          <w:p w14:paraId="59DFA60D" w14:textId="77777777" w:rsidR="005D512A" w:rsidRPr="00C316F8" w:rsidRDefault="005D512A" w:rsidP="003B711F">
            <w:pPr>
              <w:jc w:val="both"/>
              <w:rPr>
                <w:rFonts w:cstheme="minorHAnsi"/>
                <w:sz w:val="24"/>
                <w:szCs w:val="24"/>
              </w:rPr>
            </w:pPr>
            <w:r w:rsidRPr="00C316F8">
              <w:rPr>
                <w:rFonts w:cstheme="minorHAnsi"/>
                <w:sz w:val="24"/>
                <w:szCs w:val="24"/>
              </w:rPr>
              <w:t>1.54</w:t>
            </w:r>
          </w:p>
        </w:tc>
        <w:tc>
          <w:tcPr>
            <w:tcW w:w="1012" w:type="dxa"/>
          </w:tcPr>
          <w:p w14:paraId="73F21D08" w14:textId="77777777" w:rsidR="005D512A" w:rsidRPr="00C316F8" w:rsidRDefault="005D512A" w:rsidP="003B711F">
            <w:pPr>
              <w:jc w:val="both"/>
              <w:rPr>
                <w:rFonts w:cstheme="minorHAnsi"/>
                <w:sz w:val="24"/>
                <w:szCs w:val="24"/>
              </w:rPr>
            </w:pPr>
            <w:r w:rsidRPr="00C316F8">
              <w:rPr>
                <w:rFonts w:cstheme="minorHAnsi"/>
                <w:sz w:val="24"/>
                <w:szCs w:val="24"/>
              </w:rPr>
              <w:t>0.03</w:t>
            </w:r>
          </w:p>
        </w:tc>
      </w:tr>
      <w:tr w:rsidR="005D512A" w:rsidRPr="00C316F8" w14:paraId="7819E714" w14:textId="77777777" w:rsidTr="001444F0">
        <w:tc>
          <w:tcPr>
            <w:tcW w:w="1737" w:type="dxa"/>
            <w:vMerge/>
          </w:tcPr>
          <w:p w14:paraId="750B5E66" w14:textId="77777777" w:rsidR="005D512A" w:rsidRPr="00C316F8" w:rsidRDefault="005D512A" w:rsidP="003B711F">
            <w:pPr>
              <w:jc w:val="both"/>
              <w:rPr>
                <w:rFonts w:cstheme="minorHAnsi"/>
                <w:sz w:val="24"/>
                <w:szCs w:val="24"/>
              </w:rPr>
            </w:pPr>
          </w:p>
        </w:tc>
        <w:tc>
          <w:tcPr>
            <w:tcW w:w="1791" w:type="dxa"/>
          </w:tcPr>
          <w:p w14:paraId="503176F9" w14:textId="77777777" w:rsidR="005D512A" w:rsidRPr="00C316F8" w:rsidRDefault="005D512A" w:rsidP="003B711F">
            <w:pPr>
              <w:jc w:val="both"/>
              <w:rPr>
                <w:rFonts w:cstheme="minorHAnsi"/>
                <w:sz w:val="24"/>
                <w:szCs w:val="24"/>
              </w:rPr>
            </w:pPr>
            <w:r w:rsidRPr="00C316F8">
              <w:rPr>
                <w:rFonts w:cstheme="minorHAnsi"/>
                <w:sz w:val="24"/>
                <w:szCs w:val="24"/>
              </w:rPr>
              <w:t>Barriers to access to health services</w:t>
            </w:r>
          </w:p>
        </w:tc>
        <w:tc>
          <w:tcPr>
            <w:tcW w:w="1560" w:type="dxa"/>
          </w:tcPr>
          <w:p w14:paraId="14AE1B7B" w14:textId="77777777" w:rsidR="005D512A" w:rsidRPr="00C316F8" w:rsidRDefault="005D512A" w:rsidP="003B711F">
            <w:pPr>
              <w:jc w:val="both"/>
              <w:rPr>
                <w:rFonts w:cstheme="minorHAnsi"/>
                <w:sz w:val="24"/>
                <w:szCs w:val="24"/>
              </w:rPr>
            </w:pPr>
            <w:r w:rsidRPr="00C316F8">
              <w:rPr>
                <w:rFonts w:cstheme="minorHAnsi"/>
                <w:sz w:val="24"/>
                <w:szCs w:val="24"/>
              </w:rPr>
              <w:t>0.09</w:t>
            </w:r>
          </w:p>
        </w:tc>
        <w:tc>
          <w:tcPr>
            <w:tcW w:w="1373" w:type="dxa"/>
          </w:tcPr>
          <w:p w14:paraId="7660FC2C" w14:textId="77777777" w:rsidR="005D512A" w:rsidRPr="00C316F8" w:rsidRDefault="005D512A" w:rsidP="003B711F">
            <w:pPr>
              <w:jc w:val="both"/>
              <w:rPr>
                <w:rFonts w:cstheme="minorHAnsi"/>
                <w:sz w:val="24"/>
                <w:szCs w:val="24"/>
              </w:rPr>
            </w:pPr>
            <w:r w:rsidRPr="00C316F8">
              <w:rPr>
                <w:rFonts w:cstheme="minorHAnsi"/>
                <w:sz w:val="24"/>
                <w:szCs w:val="24"/>
              </w:rPr>
              <w:t>-0.42</w:t>
            </w:r>
          </w:p>
        </w:tc>
        <w:tc>
          <w:tcPr>
            <w:tcW w:w="1355" w:type="dxa"/>
          </w:tcPr>
          <w:p w14:paraId="01B7108F" w14:textId="77777777" w:rsidR="005D512A" w:rsidRPr="00C316F8" w:rsidRDefault="005D512A" w:rsidP="003B711F">
            <w:pPr>
              <w:jc w:val="both"/>
              <w:rPr>
                <w:rFonts w:cstheme="minorHAnsi"/>
                <w:sz w:val="24"/>
                <w:szCs w:val="24"/>
              </w:rPr>
            </w:pPr>
            <w:r w:rsidRPr="00C316F8">
              <w:rPr>
                <w:rFonts w:cstheme="minorHAnsi"/>
                <w:sz w:val="24"/>
                <w:szCs w:val="24"/>
              </w:rPr>
              <w:t>0.60</w:t>
            </w:r>
          </w:p>
        </w:tc>
        <w:tc>
          <w:tcPr>
            <w:tcW w:w="1012" w:type="dxa"/>
          </w:tcPr>
          <w:p w14:paraId="6702F911" w14:textId="77777777" w:rsidR="005D512A" w:rsidRPr="00C316F8" w:rsidRDefault="005D512A" w:rsidP="003B711F">
            <w:pPr>
              <w:jc w:val="both"/>
              <w:rPr>
                <w:rFonts w:cstheme="minorHAnsi"/>
                <w:sz w:val="24"/>
                <w:szCs w:val="24"/>
              </w:rPr>
            </w:pPr>
            <w:r w:rsidRPr="00C316F8">
              <w:rPr>
                <w:rFonts w:cstheme="minorHAnsi"/>
                <w:sz w:val="24"/>
                <w:szCs w:val="24"/>
              </w:rPr>
              <w:t>0.73</w:t>
            </w:r>
          </w:p>
        </w:tc>
      </w:tr>
      <w:tr w:rsidR="005D512A" w:rsidRPr="00C316F8" w14:paraId="343016A9" w14:textId="77777777" w:rsidTr="001444F0">
        <w:tc>
          <w:tcPr>
            <w:tcW w:w="1737" w:type="dxa"/>
            <w:vMerge w:val="restart"/>
          </w:tcPr>
          <w:p w14:paraId="14C2DC4F" w14:textId="77777777" w:rsidR="005D512A" w:rsidRPr="00C316F8" w:rsidRDefault="005D512A" w:rsidP="003B711F">
            <w:pPr>
              <w:jc w:val="both"/>
              <w:rPr>
                <w:rFonts w:cstheme="minorHAnsi"/>
                <w:sz w:val="24"/>
                <w:szCs w:val="24"/>
              </w:rPr>
            </w:pPr>
            <w:r w:rsidRPr="00C316F8">
              <w:rPr>
                <w:rFonts w:cstheme="minorHAnsi"/>
                <w:sz w:val="24"/>
                <w:szCs w:val="24"/>
              </w:rPr>
              <w:t>Access to public utilities and housing conditions</w:t>
            </w:r>
          </w:p>
        </w:tc>
        <w:tc>
          <w:tcPr>
            <w:tcW w:w="1791" w:type="dxa"/>
          </w:tcPr>
          <w:p w14:paraId="128A87DC" w14:textId="77777777" w:rsidR="005D512A" w:rsidRPr="00C316F8" w:rsidRDefault="005D512A" w:rsidP="003B711F">
            <w:pPr>
              <w:jc w:val="both"/>
              <w:rPr>
                <w:rFonts w:cstheme="minorHAnsi"/>
                <w:sz w:val="24"/>
                <w:szCs w:val="24"/>
              </w:rPr>
            </w:pPr>
            <w:r w:rsidRPr="00C316F8">
              <w:rPr>
                <w:rFonts w:cstheme="minorHAnsi"/>
                <w:sz w:val="24"/>
                <w:szCs w:val="24"/>
              </w:rPr>
              <w:t>No Access to water source</w:t>
            </w:r>
          </w:p>
        </w:tc>
        <w:tc>
          <w:tcPr>
            <w:tcW w:w="1560" w:type="dxa"/>
          </w:tcPr>
          <w:p w14:paraId="678ACF7F" w14:textId="77777777" w:rsidR="005D512A" w:rsidRPr="00C316F8" w:rsidRDefault="005D512A" w:rsidP="003B711F">
            <w:pPr>
              <w:jc w:val="both"/>
              <w:rPr>
                <w:rFonts w:cstheme="minorHAnsi"/>
                <w:sz w:val="24"/>
                <w:szCs w:val="24"/>
              </w:rPr>
            </w:pPr>
            <w:r w:rsidRPr="00C316F8">
              <w:rPr>
                <w:rFonts w:cstheme="minorHAnsi"/>
                <w:sz w:val="24"/>
                <w:szCs w:val="24"/>
              </w:rPr>
              <w:t>-0.14</w:t>
            </w:r>
          </w:p>
        </w:tc>
        <w:tc>
          <w:tcPr>
            <w:tcW w:w="1373" w:type="dxa"/>
          </w:tcPr>
          <w:p w14:paraId="53472D67" w14:textId="77777777" w:rsidR="005D512A" w:rsidRPr="00C316F8" w:rsidRDefault="005D512A" w:rsidP="003B711F">
            <w:pPr>
              <w:jc w:val="both"/>
              <w:rPr>
                <w:rFonts w:cstheme="minorHAnsi"/>
                <w:sz w:val="24"/>
                <w:szCs w:val="24"/>
              </w:rPr>
            </w:pPr>
            <w:r w:rsidRPr="00C316F8">
              <w:rPr>
                <w:rFonts w:cstheme="minorHAnsi"/>
                <w:sz w:val="24"/>
                <w:szCs w:val="24"/>
              </w:rPr>
              <w:t>-0.31</w:t>
            </w:r>
          </w:p>
        </w:tc>
        <w:tc>
          <w:tcPr>
            <w:tcW w:w="1355" w:type="dxa"/>
          </w:tcPr>
          <w:p w14:paraId="6CA5A254" w14:textId="77777777" w:rsidR="005D512A" w:rsidRPr="00C316F8" w:rsidRDefault="005D512A" w:rsidP="003B711F">
            <w:pPr>
              <w:jc w:val="both"/>
              <w:rPr>
                <w:rFonts w:cstheme="minorHAnsi"/>
                <w:sz w:val="24"/>
                <w:szCs w:val="24"/>
              </w:rPr>
            </w:pPr>
            <w:r w:rsidRPr="00C316F8">
              <w:rPr>
                <w:rFonts w:cstheme="minorHAnsi"/>
                <w:sz w:val="24"/>
                <w:szCs w:val="24"/>
              </w:rPr>
              <w:t>0.03</w:t>
            </w:r>
          </w:p>
        </w:tc>
        <w:tc>
          <w:tcPr>
            <w:tcW w:w="1012" w:type="dxa"/>
          </w:tcPr>
          <w:p w14:paraId="29516F85" w14:textId="77777777" w:rsidR="005D512A" w:rsidRPr="00C316F8" w:rsidRDefault="005D512A" w:rsidP="003B711F">
            <w:pPr>
              <w:jc w:val="both"/>
              <w:rPr>
                <w:rFonts w:cstheme="minorHAnsi"/>
                <w:sz w:val="24"/>
                <w:szCs w:val="24"/>
              </w:rPr>
            </w:pPr>
            <w:r w:rsidRPr="00C316F8">
              <w:rPr>
                <w:rFonts w:cstheme="minorHAnsi"/>
                <w:sz w:val="24"/>
                <w:szCs w:val="24"/>
              </w:rPr>
              <w:t>0.09</w:t>
            </w:r>
          </w:p>
        </w:tc>
      </w:tr>
      <w:tr w:rsidR="005D512A" w:rsidRPr="00C316F8" w14:paraId="4CDDA231" w14:textId="77777777" w:rsidTr="001444F0">
        <w:tc>
          <w:tcPr>
            <w:tcW w:w="1737" w:type="dxa"/>
            <w:vMerge/>
          </w:tcPr>
          <w:p w14:paraId="33E226F7" w14:textId="77777777" w:rsidR="005D512A" w:rsidRPr="00C316F8" w:rsidRDefault="005D512A" w:rsidP="003B711F">
            <w:pPr>
              <w:jc w:val="both"/>
              <w:rPr>
                <w:rFonts w:cstheme="minorHAnsi"/>
                <w:sz w:val="24"/>
                <w:szCs w:val="24"/>
              </w:rPr>
            </w:pPr>
          </w:p>
        </w:tc>
        <w:tc>
          <w:tcPr>
            <w:tcW w:w="1791" w:type="dxa"/>
          </w:tcPr>
          <w:p w14:paraId="05FD95D8" w14:textId="77777777" w:rsidR="005D512A" w:rsidRPr="00C316F8" w:rsidRDefault="005D512A" w:rsidP="003B711F">
            <w:pPr>
              <w:jc w:val="both"/>
              <w:rPr>
                <w:rFonts w:cstheme="minorHAnsi"/>
                <w:sz w:val="24"/>
                <w:szCs w:val="24"/>
              </w:rPr>
            </w:pPr>
            <w:r w:rsidRPr="00C316F8">
              <w:rPr>
                <w:rFonts w:cstheme="minorHAnsi"/>
                <w:sz w:val="24"/>
                <w:szCs w:val="24"/>
              </w:rPr>
              <w:t>Inadequate excreta disposal</w:t>
            </w:r>
          </w:p>
        </w:tc>
        <w:tc>
          <w:tcPr>
            <w:tcW w:w="1560" w:type="dxa"/>
            <w:vAlign w:val="bottom"/>
          </w:tcPr>
          <w:p w14:paraId="6C6A3737" w14:textId="77777777" w:rsidR="005D512A" w:rsidRPr="00C316F8" w:rsidRDefault="005D512A" w:rsidP="003B711F">
            <w:pPr>
              <w:jc w:val="both"/>
              <w:rPr>
                <w:rFonts w:cstheme="minorHAnsi"/>
                <w:sz w:val="24"/>
                <w:szCs w:val="24"/>
              </w:rPr>
            </w:pPr>
            <w:r w:rsidRPr="00C316F8">
              <w:rPr>
                <w:rFonts w:cstheme="minorHAnsi"/>
                <w:color w:val="000000"/>
                <w:sz w:val="24"/>
                <w:szCs w:val="24"/>
              </w:rPr>
              <w:t>-0.17</w:t>
            </w:r>
          </w:p>
        </w:tc>
        <w:tc>
          <w:tcPr>
            <w:tcW w:w="1373" w:type="dxa"/>
            <w:vAlign w:val="bottom"/>
          </w:tcPr>
          <w:p w14:paraId="41D51837" w14:textId="77777777" w:rsidR="005D512A" w:rsidRPr="00C316F8" w:rsidRDefault="005D512A" w:rsidP="003B711F">
            <w:pPr>
              <w:jc w:val="both"/>
              <w:rPr>
                <w:rFonts w:cstheme="minorHAnsi"/>
                <w:sz w:val="24"/>
                <w:szCs w:val="24"/>
              </w:rPr>
            </w:pPr>
            <w:r w:rsidRPr="00C316F8">
              <w:rPr>
                <w:rFonts w:cstheme="minorHAnsi"/>
                <w:color w:val="000000"/>
                <w:sz w:val="24"/>
                <w:szCs w:val="24"/>
              </w:rPr>
              <w:t>-0.34</w:t>
            </w:r>
          </w:p>
        </w:tc>
        <w:tc>
          <w:tcPr>
            <w:tcW w:w="1355" w:type="dxa"/>
            <w:vAlign w:val="bottom"/>
          </w:tcPr>
          <w:p w14:paraId="270ECABA" w14:textId="77777777" w:rsidR="005D512A" w:rsidRPr="00C316F8" w:rsidRDefault="005D512A" w:rsidP="003B711F">
            <w:pPr>
              <w:jc w:val="both"/>
              <w:rPr>
                <w:rFonts w:cstheme="minorHAnsi"/>
                <w:sz w:val="24"/>
                <w:szCs w:val="24"/>
              </w:rPr>
            </w:pPr>
            <w:r w:rsidRPr="00C316F8">
              <w:rPr>
                <w:rFonts w:cstheme="minorHAnsi"/>
                <w:color w:val="000000"/>
                <w:sz w:val="24"/>
                <w:szCs w:val="24"/>
              </w:rPr>
              <w:t>0.00</w:t>
            </w:r>
          </w:p>
        </w:tc>
        <w:tc>
          <w:tcPr>
            <w:tcW w:w="1012" w:type="dxa"/>
            <w:vAlign w:val="bottom"/>
          </w:tcPr>
          <w:p w14:paraId="7D8405C0" w14:textId="77777777" w:rsidR="005D512A" w:rsidRPr="00C316F8" w:rsidRDefault="005D512A" w:rsidP="003B711F">
            <w:pPr>
              <w:jc w:val="both"/>
              <w:rPr>
                <w:rFonts w:cstheme="minorHAnsi"/>
                <w:sz w:val="24"/>
                <w:szCs w:val="24"/>
              </w:rPr>
            </w:pPr>
            <w:r w:rsidRPr="00C316F8">
              <w:rPr>
                <w:rFonts w:cstheme="minorHAnsi"/>
                <w:color w:val="000000"/>
                <w:sz w:val="24"/>
                <w:szCs w:val="24"/>
              </w:rPr>
              <w:t>0.05</w:t>
            </w:r>
          </w:p>
        </w:tc>
      </w:tr>
      <w:tr w:rsidR="005D512A" w:rsidRPr="00C316F8" w14:paraId="0DF6EE0B" w14:textId="77777777" w:rsidTr="001444F0">
        <w:tc>
          <w:tcPr>
            <w:tcW w:w="1737" w:type="dxa"/>
            <w:vMerge/>
          </w:tcPr>
          <w:p w14:paraId="6DA40CFC" w14:textId="77777777" w:rsidR="005D512A" w:rsidRPr="00C316F8" w:rsidRDefault="005D512A" w:rsidP="003B711F">
            <w:pPr>
              <w:jc w:val="both"/>
              <w:rPr>
                <w:rFonts w:cstheme="minorHAnsi"/>
                <w:sz w:val="24"/>
                <w:szCs w:val="24"/>
              </w:rPr>
            </w:pPr>
          </w:p>
        </w:tc>
        <w:tc>
          <w:tcPr>
            <w:tcW w:w="1791" w:type="dxa"/>
          </w:tcPr>
          <w:p w14:paraId="499321EC" w14:textId="77777777" w:rsidR="005D512A" w:rsidRPr="00C316F8" w:rsidRDefault="005D512A" w:rsidP="003B711F">
            <w:pPr>
              <w:jc w:val="both"/>
              <w:rPr>
                <w:rFonts w:cstheme="minorHAnsi"/>
                <w:sz w:val="24"/>
                <w:szCs w:val="24"/>
              </w:rPr>
            </w:pPr>
            <w:r w:rsidRPr="00C316F8">
              <w:rPr>
                <w:rFonts w:cstheme="minorHAnsi"/>
                <w:sz w:val="24"/>
                <w:szCs w:val="24"/>
              </w:rPr>
              <w:t>Inadequate floor material</w:t>
            </w:r>
          </w:p>
        </w:tc>
        <w:tc>
          <w:tcPr>
            <w:tcW w:w="1560" w:type="dxa"/>
            <w:vAlign w:val="bottom"/>
          </w:tcPr>
          <w:p w14:paraId="2C8936AC" w14:textId="77777777" w:rsidR="005D512A" w:rsidRPr="00C316F8" w:rsidRDefault="005D512A" w:rsidP="003B711F">
            <w:pPr>
              <w:jc w:val="both"/>
              <w:rPr>
                <w:rFonts w:cstheme="minorHAnsi"/>
                <w:sz w:val="24"/>
                <w:szCs w:val="24"/>
              </w:rPr>
            </w:pPr>
            <w:r w:rsidRPr="00C316F8">
              <w:rPr>
                <w:rFonts w:cstheme="minorHAnsi"/>
                <w:color w:val="000000"/>
                <w:sz w:val="24"/>
                <w:szCs w:val="24"/>
              </w:rPr>
              <w:t>-0.34</w:t>
            </w:r>
          </w:p>
        </w:tc>
        <w:tc>
          <w:tcPr>
            <w:tcW w:w="1373" w:type="dxa"/>
            <w:vAlign w:val="bottom"/>
          </w:tcPr>
          <w:p w14:paraId="27033974" w14:textId="77777777" w:rsidR="005D512A" w:rsidRPr="00C316F8" w:rsidRDefault="005D512A" w:rsidP="003B711F">
            <w:pPr>
              <w:jc w:val="both"/>
              <w:rPr>
                <w:rFonts w:cstheme="minorHAnsi"/>
                <w:sz w:val="24"/>
                <w:szCs w:val="24"/>
              </w:rPr>
            </w:pPr>
            <w:r w:rsidRPr="00C316F8">
              <w:rPr>
                <w:rFonts w:cstheme="minorHAnsi"/>
                <w:color w:val="000000"/>
                <w:sz w:val="24"/>
                <w:szCs w:val="24"/>
              </w:rPr>
              <w:t>-0.54</w:t>
            </w:r>
          </w:p>
        </w:tc>
        <w:tc>
          <w:tcPr>
            <w:tcW w:w="1355" w:type="dxa"/>
            <w:vAlign w:val="bottom"/>
          </w:tcPr>
          <w:p w14:paraId="41BFF03B" w14:textId="77777777" w:rsidR="005D512A" w:rsidRPr="00C316F8" w:rsidRDefault="005D512A" w:rsidP="003B711F">
            <w:pPr>
              <w:jc w:val="both"/>
              <w:rPr>
                <w:rFonts w:cstheme="minorHAnsi"/>
                <w:sz w:val="24"/>
                <w:szCs w:val="24"/>
              </w:rPr>
            </w:pPr>
            <w:r w:rsidRPr="00C316F8">
              <w:rPr>
                <w:rFonts w:cstheme="minorHAnsi"/>
                <w:color w:val="000000"/>
                <w:sz w:val="24"/>
                <w:szCs w:val="24"/>
              </w:rPr>
              <w:t>-0.13</w:t>
            </w:r>
          </w:p>
        </w:tc>
        <w:tc>
          <w:tcPr>
            <w:tcW w:w="1012" w:type="dxa"/>
            <w:vAlign w:val="bottom"/>
          </w:tcPr>
          <w:p w14:paraId="7B6FE025" w14:textId="77777777" w:rsidR="005D512A" w:rsidRPr="00C316F8" w:rsidRDefault="005D512A" w:rsidP="003B711F">
            <w:pPr>
              <w:jc w:val="both"/>
              <w:rPr>
                <w:rFonts w:cstheme="minorHAnsi"/>
                <w:sz w:val="24"/>
                <w:szCs w:val="24"/>
              </w:rPr>
            </w:pPr>
            <w:r w:rsidRPr="00C316F8">
              <w:rPr>
                <w:rFonts w:cstheme="minorHAnsi"/>
                <w:color w:val="000000"/>
                <w:sz w:val="24"/>
                <w:szCs w:val="24"/>
              </w:rPr>
              <w:t>0.001</w:t>
            </w:r>
          </w:p>
        </w:tc>
      </w:tr>
      <w:tr w:rsidR="005D512A" w:rsidRPr="00C316F8" w14:paraId="4E76AA81" w14:textId="77777777" w:rsidTr="001444F0">
        <w:tc>
          <w:tcPr>
            <w:tcW w:w="1737" w:type="dxa"/>
            <w:vMerge/>
          </w:tcPr>
          <w:p w14:paraId="5516E68C" w14:textId="77777777" w:rsidR="005D512A" w:rsidRPr="00C316F8" w:rsidRDefault="005D512A" w:rsidP="003B711F">
            <w:pPr>
              <w:jc w:val="both"/>
              <w:rPr>
                <w:rFonts w:cstheme="minorHAnsi"/>
                <w:sz w:val="24"/>
                <w:szCs w:val="24"/>
              </w:rPr>
            </w:pPr>
          </w:p>
        </w:tc>
        <w:tc>
          <w:tcPr>
            <w:tcW w:w="1791" w:type="dxa"/>
          </w:tcPr>
          <w:p w14:paraId="6A977ECB" w14:textId="77777777" w:rsidR="005D512A" w:rsidRPr="00C316F8" w:rsidRDefault="005D512A" w:rsidP="003B711F">
            <w:pPr>
              <w:jc w:val="both"/>
              <w:rPr>
                <w:rFonts w:cstheme="minorHAnsi"/>
                <w:sz w:val="24"/>
                <w:szCs w:val="24"/>
              </w:rPr>
            </w:pPr>
            <w:r w:rsidRPr="00C316F8">
              <w:rPr>
                <w:rFonts w:cstheme="minorHAnsi"/>
                <w:sz w:val="24"/>
                <w:szCs w:val="24"/>
              </w:rPr>
              <w:t>Inadequate wall material</w:t>
            </w:r>
          </w:p>
        </w:tc>
        <w:tc>
          <w:tcPr>
            <w:tcW w:w="1560" w:type="dxa"/>
          </w:tcPr>
          <w:p w14:paraId="50E82E34" w14:textId="77777777" w:rsidR="005D512A" w:rsidRPr="00C316F8" w:rsidRDefault="005D512A" w:rsidP="003B711F">
            <w:pPr>
              <w:jc w:val="both"/>
              <w:rPr>
                <w:rFonts w:cstheme="minorHAnsi"/>
                <w:sz w:val="24"/>
                <w:szCs w:val="24"/>
              </w:rPr>
            </w:pPr>
            <w:r w:rsidRPr="00C316F8">
              <w:rPr>
                <w:rFonts w:cstheme="minorHAnsi"/>
                <w:sz w:val="24"/>
                <w:szCs w:val="24"/>
              </w:rPr>
              <w:t>0.04</w:t>
            </w:r>
          </w:p>
        </w:tc>
        <w:tc>
          <w:tcPr>
            <w:tcW w:w="1373" w:type="dxa"/>
          </w:tcPr>
          <w:p w14:paraId="76414F6A" w14:textId="77777777" w:rsidR="005D512A" w:rsidRPr="00C316F8" w:rsidRDefault="005D512A" w:rsidP="003B711F">
            <w:pPr>
              <w:jc w:val="both"/>
              <w:rPr>
                <w:rFonts w:cstheme="minorHAnsi"/>
                <w:sz w:val="24"/>
                <w:szCs w:val="24"/>
              </w:rPr>
            </w:pPr>
            <w:r w:rsidRPr="00C316F8">
              <w:rPr>
                <w:rFonts w:cstheme="minorHAnsi"/>
                <w:sz w:val="24"/>
                <w:szCs w:val="24"/>
              </w:rPr>
              <w:t>-0.27</w:t>
            </w:r>
          </w:p>
        </w:tc>
        <w:tc>
          <w:tcPr>
            <w:tcW w:w="1355" w:type="dxa"/>
          </w:tcPr>
          <w:p w14:paraId="42907D22" w14:textId="77777777" w:rsidR="005D512A" w:rsidRPr="00C316F8" w:rsidRDefault="005D512A" w:rsidP="003B711F">
            <w:pPr>
              <w:jc w:val="both"/>
              <w:rPr>
                <w:rFonts w:cstheme="minorHAnsi"/>
                <w:sz w:val="24"/>
                <w:szCs w:val="24"/>
              </w:rPr>
            </w:pPr>
            <w:r w:rsidRPr="00C316F8">
              <w:rPr>
                <w:rFonts w:cstheme="minorHAnsi"/>
                <w:sz w:val="24"/>
                <w:szCs w:val="24"/>
              </w:rPr>
              <w:t>0.36</w:t>
            </w:r>
          </w:p>
        </w:tc>
        <w:tc>
          <w:tcPr>
            <w:tcW w:w="1012" w:type="dxa"/>
          </w:tcPr>
          <w:p w14:paraId="3C1D6349" w14:textId="77777777" w:rsidR="005D512A" w:rsidRPr="00C316F8" w:rsidRDefault="005D512A" w:rsidP="003B711F">
            <w:pPr>
              <w:jc w:val="both"/>
              <w:rPr>
                <w:rFonts w:cstheme="minorHAnsi"/>
                <w:sz w:val="24"/>
                <w:szCs w:val="24"/>
              </w:rPr>
            </w:pPr>
            <w:r w:rsidRPr="00C316F8">
              <w:rPr>
                <w:rFonts w:cstheme="minorHAnsi"/>
                <w:sz w:val="24"/>
                <w:szCs w:val="24"/>
              </w:rPr>
              <w:t>0.79</w:t>
            </w:r>
          </w:p>
        </w:tc>
      </w:tr>
      <w:tr w:rsidR="005D512A" w:rsidRPr="00C316F8" w14:paraId="6BAC6867" w14:textId="77777777" w:rsidTr="001444F0">
        <w:tc>
          <w:tcPr>
            <w:tcW w:w="1737" w:type="dxa"/>
            <w:vMerge/>
          </w:tcPr>
          <w:p w14:paraId="3977FF8A" w14:textId="77777777" w:rsidR="005D512A" w:rsidRPr="00C316F8" w:rsidRDefault="005D512A" w:rsidP="003B711F">
            <w:pPr>
              <w:jc w:val="both"/>
              <w:rPr>
                <w:rFonts w:cstheme="minorHAnsi"/>
                <w:sz w:val="24"/>
                <w:szCs w:val="24"/>
              </w:rPr>
            </w:pPr>
          </w:p>
        </w:tc>
        <w:tc>
          <w:tcPr>
            <w:tcW w:w="1791" w:type="dxa"/>
          </w:tcPr>
          <w:p w14:paraId="4B932175" w14:textId="77777777" w:rsidR="005D512A" w:rsidRPr="00C316F8" w:rsidRDefault="005D512A" w:rsidP="003B711F">
            <w:pPr>
              <w:jc w:val="both"/>
              <w:rPr>
                <w:rFonts w:cstheme="minorHAnsi"/>
                <w:sz w:val="24"/>
                <w:szCs w:val="24"/>
              </w:rPr>
            </w:pPr>
            <w:r w:rsidRPr="00C316F8">
              <w:rPr>
                <w:rFonts w:cstheme="minorHAnsi"/>
                <w:sz w:val="24"/>
                <w:szCs w:val="24"/>
              </w:rPr>
              <w:t>Critical overcrowding</w:t>
            </w:r>
          </w:p>
        </w:tc>
        <w:tc>
          <w:tcPr>
            <w:tcW w:w="1560" w:type="dxa"/>
          </w:tcPr>
          <w:p w14:paraId="6677548D" w14:textId="77777777" w:rsidR="005D512A" w:rsidRPr="00C316F8" w:rsidRDefault="005D512A" w:rsidP="003B711F">
            <w:pPr>
              <w:jc w:val="both"/>
              <w:rPr>
                <w:rFonts w:cstheme="minorHAnsi"/>
                <w:sz w:val="24"/>
                <w:szCs w:val="24"/>
              </w:rPr>
            </w:pPr>
            <w:r w:rsidRPr="00C316F8">
              <w:rPr>
                <w:rFonts w:cstheme="minorHAnsi"/>
                <w:sz w:val="24"/>
                <w:szCs w:val="24"/>
              </w:rPr>
              <w:t>0.87</w:t>
            </w:r>
          </w:p>
        </w:tc>
        <w:tc>
          <w:tcPr>
            <w:tcW w:w="1373" w:type="dxa"/>
          </w:tcPr>
          <w:p w14:paraId="0AF39744" w14:textId="77777777" w:rsidR="005D512A" w:rsidRPr="00C316F8" w:rsidRDefault="005D512A" w:rsidP="003B711F">
            <w:pPr>
              <w:jc w:val="both"/>
              <w:rPr>
                <w:rFonts w:cstheme="minorHAnsi"/>
                <w:sz w:val="24"/>
                <w:szCs w:val="24"/>
              </w:rPr>
            </w:pPr>
            <w:r w:rsidRPr="00C316F8">
              <w:rPr>
                <w:rFonts w:cstheme="minorHAnsi"/>
                <w:sz w:val="24"/>
                <w:szCs w:val="24"/>
              </w:rPr>
              <w:t>0.33</w:t>
            </w:r>
          </w:p>
        </w:tc>
        <w:tc>
          <w:tcPr>
            <w:tcW w:w="1355" w:type="dxa"/>
          </w:tcPr>
          <w:p w14:paraId="3DFED0B6" w14:textId="77777777" w:rsidR="005D512A" w:rsidRPr="00C316F8" w:rsidRDefault="005D512A" w:rsidP="003B711F">
            <w:pPr>
              <w:jc w:val="both"/>
              <w:rPr>
                <w:rFonts w:cstheme="minorHAnsi"/>
                <w:sz w:val="24"/>
                <w:szCs w:val="24"/>
              </w:rPr>
            </w:pPr>
            <w:r w:rsidRPr="00C316F8">
              <w:rPr>
                <w:rFonts w:cstheme="minorHAnsi"/>
                <w:sz w:val="24"/>
                <w:szCs w:val="24"/>
              </w:rPr>
              <w:t>1.41</w:t>
            </w:r>
          </w:p>
        </w:tc>
        <w:tc>
          <w:tcPr>
            <w:tcW w:w="1012" w:type="dxa"/>
          </w:tcPr>
          <w:p w14:paraId="7399BB1E" w14:textId="77777777" w:rsidR="005D512A" w:rsidRPr="00C316F8" w:rsidRDefault="005D512A" w:rsidP="003B711F">
            <w:pPr>
              <w:jc w:val="both"/>
              <w:rPr>
                <w:rFonts w:cstheme="minorHAnsi"/>
                <w:sz w:val="24"/>
                <w:szCs w:val="24"/>
              </w:rPr>
            </w:pPr>
            <w:r w:rsidRPr="00C316F8">
              <w:rPr>
                <w:rFonts w:cstheme="minorHAnsi"/>
                <w:sz w:val="24"/>
                <w:szCs w:val="24"/>
              </w:rPr>
              <w:t>0.001</w:t>
            </w:r>
          </w:p>
        </w:tc>
      </w:tr>
    </w:tbl>
    <w:p w14:paraId="21D37771" w14:textId="77777777" w:rsidR="004A2F6D" w:rsidRPr="00C316F8" w:rsidRDefault="004A2F6D" w:rsidP="004A2F6D">
      <w:pPr>
        <w:jc w:val="both"/>
        <w:rPr>
          <w:rFonts w:eastAsia="Calibri" w:cstheme="minorHAnsi"/>
          <w:sz w:val="24"/>
          <w:szCs w:val="24"/>
          <w:lang w:val="es-CO"/>
        </w:rPr>
      </w:pPr>
      <w:r w:rsidRPr="00C316F8">
        <w:rPr>
          <w:rFonts w:eastAsia="Calibri" w:cstheme="minorHAnsi"/>
          <w:sz w:val="24"/>
          <w:szCs w:val="24"/>
          <w:lang w:val="es-CO"/>
        </w:rPr>
        <w:t>Fuente, elaboración propia.</w:t>
      </w:r>
    </w:p>
    <w:p w14:paraId="19863565" w14:textId="77777777" w:rsidR="00C04A8D" w:rsidRPr="00C316F8" w:rsidRDefault="00C04A8D" w:rsidP="003B711F">
      <w:pPr>
        <w:jc w:val="both"/>
        <w:rPr>
          <w:rFonts w:cstheme="minorHAnsi"/>
          <w:sz w:val="24"/>
          <w:szCs w:val="24"/>
          <w:lang w:val="es-CO"/>
        </w:rPr>
      </w:pPr>
    </w:p>
    <w:p w14:paraId="3F9A281F" w14:textId="19FA72AA" w:rsidR="00C04A8D" w:rsidRPr="00C316F8" w:rsidRDefault="00383B2D" w:rsidP="003B711F">
      <w:pPr>
        <w:jc w:val="both"/>
        <w:rPr>
          <w:rFonts w:cstheme="minorHAnsi"/>
          <w:sz w:val="24"/>
          <w:szCs w:val="24"/>
          <w:lang w:val="es-CO"/>
        </w:rPr>
      </w:pPr>
      <w:r w:rsidRPr="00C316F8">
        <w:rPr>
          <w:rFonts w:cstheme="minorHAnsi"/>
          <w:sz w:val="24"/>
          <w:szCs w:val="24"/>
          <w:lang w:val="es-CO"/>
        </w:rPr>
        <w:t xml:space="preserve">Para el año 2021, las variables significativas fueron: bajo logro educativo (p&lt;0.0005, IC95%: -2.48 a -1.37), empleo informal (p=0.0267, IC95%: -0.28 a 2.15), no acceso a una fuente de agua (p=0.0077, IC95%: -0.63 a -0.10), disposición inadecuada de excretas (p=0.0022, IC95%: -0.70 a -0.15) y hacinamiento crítico (p=0.0009, IC95%: 0.61 a 2.34). Los resultados del modelo se presentan en la Tabla </w:t>
      </w:r>
      <w:r w:rsidR="00996D55" w:rsidRPr="00C316F8">
        <w:rPr>
          <w:rFonts w:cstheme="minorHAnsi"/>
          <w:sz w:val="24"/>
          <w:szCs w:val="24"/>
          <w:lang w:val="es-CO"/>
        </w:rPr>
        <w:t>8</w:t>
      </w:r>
      <w:r w:rsidRPr="00C316F8">
        <w:rPr>
          <w:rFonts w:cstheme="minorHAnsi"/>
          <w:sz w:val="24"/>
          <w:szCs w:val="24"/>
          <w:lang w:val="es-CO"/>
        </w:rPr>
        <w:t>.</w:t>
      </w:r>
    </w:p>
    <w:p w14:paraId="328F5FBF" w14:textId="38B9921A" w:rsidR="00156C70" w:rsidRPr="00C316F8" w:rsidRDefault="00156C70" w:rsidP="00156C70">
      <w:pPr>
        <w:pStyle w:val="Descripcin"/>
        <w:rPr>
          <w:rFonts w:asciiTheme="minorHAnsi" w:hAnsiTheme="minorHAnsi" w:cstheme="minorHAnsi"/>
          <w:b/>
          <w:bCs/>
          <w:i w:val="0"/>
          <w:iCs w:val="0"/>
          <w:color w:val="auto"/>
          <w:sz w:val="24"/>
          <w:szCs w:val="24"/>
        </w:rPr>
      </w:pPr>
      <w:bookmarkStart w:id="55" w:name="_Toc229834696"/>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8</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Resultados del modelo autorregresivo espacial simultáneo (SAC) – Colombia, 2021</w:t>
      </w:r>
      <w:bookmarkEnd w:id="55"/>
    </w:p>
    <w:tbl>
      <w:tblPr>
        <w:tblStyle w:val="Tablaconcuadrcula"/>
        <w:tblW w:w="0" w:type="auto"/>
        <w:tblLook w:val="04A0" w:firstRow="1" w:lastRow="0" w:firstColumn="1" w:lastColumn="0" w:noHBand="0" w:noVBand="1"/>
      </w:tblPr>
      <w:tblGrid>
        <w:gridCol w:w="1737"/>
        <w:gridCol w:w="1791"/>
        <w:gridCol w:w="1560"/>
        <w:gridCol w:w="1373"/>
        <w:gridCol w:w="1355"/>
        <w:gridCol w:w="1012"/>
      </w:tblGrid>
      <w:tr w:rsidR="008A45D8" w:rsidRPr="00C316F8" w14:paraId="56578E7C" w14:textId="77777777" w:rsidTr="001444F0">
        <w:trPr>
          <w:trHeight w:val="562"/>
        </w:trPr>
        <w:tc>
          <w:tcPr>
            <w:tcW w:w="1737" w:type="dxa"/>
          </w:tcPr>
          <w:p w14:paraId="4E1C6150" w14:textId="77777777" w:rsidR="008A45D8" w:rsidRPr="00C316F8" w:rsidRDefault="008A45D8" w:rsidP="003B711F">
            <w:pPr>
              <w:jc w:val="both"/>
              <w:rPr>
                <w:rFonts w:cstheme="minorHAnsi"/>
                <w:sz w:val="24"/>
                <w:szCs w:val="24"/>
              </w:rPr>
            </w:pPr>
            <w:r w:rsidRPr="00C316F8">
              <w:rPr>
                <w:rFonts w:cstheme="minorHAnsi"/>
                <w:sz w:val="24"/>
                <w:szCs w:val="24"/>
              </w:rPr>
              <w:t>DIMENSIONS</w:t>
            </w:r>
          </w:p>
        </w:tc>
        <w:tc>
          <w:tcPr>
            <w:tcW w:w="1791" w:type="dxa"/>
          </w:tcPr>
          <w:p w14:paraId="31CE25A9" w14:textId="77777777" w:rsidR="008A45D8" w:rsidRPr="00C316F8" w:rsidRDefault="008A45D8" w:rsidP="003B711F">
            <w:pPr>
              <w:jc w:val="both"/>
              <w:rPr>
                <w:rFonts w:cstheme="minorHAnsi"/>
                <w:sz w:val="24"/>
                <w:szCs w:val="24"/>
              </w:rPr>
            </w:pPr>
            <w:r w:rsidRPr="00C316F8">
              <w:rPr>
                <w:rFonts w:cstheme="minorHAnsi"/>
                <w:sz w:val="24"/>
                <w:szCs w:val="24"/>
              </w:rPr>
              <w:t>VARIABLE</w:t>
            </w:r>
          </w:p>
          <w:p w14:paraId="4C8797F0" w14:textId="77777777" w:rsidR="008A45D8" w:rsidRPr="00C316F8" w:rsidRDefault="008A45D8" w:rsidP="003B711F">
            <w:pPr>
              <w:jc w:val="both"/>
              <w:rPr>
                <w:rFonts w:cstheme="minorHAnsi"/>
                <w:sz w:val="24"/>
                <w:szCs w:val="24"/>
              </w:rPr>
            </w:pPr>
          </w:p>
        </w:tc>
        <w:tc>
          <w:tcPr>
            <w:tcW w:w="1560" w:type="dxa"/>
          </w:tcPr>
          <w:p w14:paraId="08DCC056" w14:textId="77777777" w:rsidR="008A45D8" w:rsidRPr="00C316F8" w:rsidRDefault="008A45D8" w:rsidP="003B711F">
            <w:pPr>
              <w:jc w:val="both"/>
              <w:rPr>
                <w:rFonts w:cstheme="minorHAnsi"/>
                <w:color w:val="0D0D0D"/>
                <w:sz w:val="24"/>
                <w:szCs w:val="24"/>
              </w:rPr>
            </w:pPr>
            <w:r w:rsidRPr="00C316F8">
              <w:rPr>
                <w:rFonts w:cstheme="minorHAnsi"/>
                <w:color w:val="0D0D0D"/>
                <w:sz w:val="24"/>
                <w:szCs w:val="24"/>
              </w:rPr>
              <w:t>COEFFICIENT</w:t>
            </w:r>
          </w:p>
          <w:p w14:paraId="17CB572C" w14:textId="77777777" w:rsidR="008A45D8" w:rsidRPr="00C316F8" w:rsidRDefault="008A45D8" w:rsidP="003B711F">
            <w:pPr>
              <w:jc w:val="both"/>
              <w:rPr>
                <w:rFonts w:cstheme="minorHAnsi"/>
                <w:sz w:val="24"/>
                <w:szCs w:val="24"/>
              </w:rPr>
            </w:pPr>
          </w:p>
        </w:tc>
        <w:tc>
          <w:tcPr>
            <w:tcW w:w="2728" w:type="dxa"/>
            <w:gridSpan w:val="2"/>
            <w:tcBorders>
              <w:bottom w:val="single" w:sz="4" w:space="0" w:color="auto"/>
            </w:tcBorders>
          </w:tcPr>
          <w:p w14:paraId="6EDBE1BD" w14:textId="77777777" w:rsidR="008A45D8" w:rsidRPr="00C316F8" w:rsidRDefault="008A45D8" w:rsidP="003B711F">
            <w:pPr>
              <w:jc w:val="both"/>
              <w:rPr>
                <w:rFonts w:cstheme="minorHAnsi"/>
                <w:sz w:val="24"/>
                <w:szCs w:val="24"/>
              </w:rPr>
            </w:pPr>
            <w:r w:rsidRPr="00C316F8">
              <w:rPr>
                <w:rFonts w:cstheme="minorHAnsi"/>
                <w:color w:val="0D0D0D"/>
                <w:sz w:val="24"/>
                <w:szCs w:val="24"/>
              </w:rPr>
              <w:t>CONFIDENCE INTERVAL 95%</w:t>
            </w:r>
          </w:p>
        </w:tc>
        <w:tc>
          <w:tcPr>
            <w:tcW w:w="1012" w:type="dxa"/>
            <w:tcBorders>
              <w:bottom w:val="single" w:sz="4" w:space="0" w:color="auto"/>
            </w:tcBorders>
          </w:tcPr>
          <w:p w14:paraId="046FF6B1" w14:textId="77777777" w:rsidR="008A45D8" w:rsidRPr="00C316F8" w:rsidRDefault="008A45D8" w:rsidP="003B711F">
            <w:pPr>
              <w:jc w:val="both"/>
              <w:rPr>
                <w:rFonts w:cstheme="minorHAnsi"/>
                <w:sz w:val="24"/>
                <w:szCs w:val="24"/>
              </w:rPr>
            </w:pPr>
            <w:r w:rsidRPr="00C316F8">
              <w:rPr>
                <w:rFonts w:cstheme="minorHAnsi"/>
                <w:sz w:val="24"/>
                <w:szCs w:val="24"/>
              </w:rPr>
              <w:t>P VALUE</w:t>
            </w:r>
          </w:p>
        </w:tc>
      </w:tr>
      <w:tr w:rsidR="008A45D8" w:rsidRPr="00C316F8" w14:paraId="22F01B12" w14:textId="77777777" w:rsidTr="001444F0">
        <w:tc>
          <w:tcPr>
            <w:tcW w:w="1737" w:type="dxa"/>
            <w:vMerge w:val="restart"/>
          </w:tcPr>
          <w:p w14:paraId="78020F00" w14:textId="77777777" w:rsidR="008A45D8" w:rsidRPr="00C316F8" w:rsidRDefault="008A45D8" w:rsidP="003B711F">
            <w:pPr>
              <w:jc w:val="both"/>
              <w:rPr>
                <w:rFonts w:cstheme="minorHAnsi"/>
                <w:sz w:val="24"/>
                <w:szCs w:val="24"/>
              </w:rPr>
            </w:pPr>
          </w:p>
        </w:tc>
        <w:tc>
          <w:tcPr>
            <w:tcW w:w="1791" w:type="dxa"/>
          </w:tcPr>
          <w:p w14:paraId="020658AF" w14:textId="77777777" w:rsidR="008A45D8" w:rsidRPr="00C316F8" w:rsidRDefault="008A45D8" w:rsidP="003B711F">
            <w:pPr>
              <w:jc w:val="both"/>
              <w:rPr>
                <w:rFonts w:cstheme="minorHAnsi"/>
                <w:sz w:val="24"/>
                <w:szCs w:val="24"/>
              </w:rPr>
            </w:pPr>
            <w:r w:rsidRPr="00C316F8">
              <w:rPr>
                <w:rFonts w:cstheme="minorHAnsi"/>
                <w:sz w:val="24"/>
                <w:szCs w:val="24"/>
              </w:rPr>
              <w:t>Rho</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4884D16B" w14:textId="77777777" w:rsidR="008A45D8" w:rsidRPr="00C316F8" w:rsidRDefault="008A45D8" w:rsidP="003B711F">
            <w:pPr>
              <w:jc w:val="both"/>
              <w:rPr>
                <w:rFonts w:cstheme="minorHAnsi"/>
                <w:color w:val="000000"/>
                <w:sz w:val="24"/>
                <w:szCs w:val="24"/>
              </w:rPr>
            </w:pPr>
            <w:r w:rsidRPr="00C316F8">
              <w:rPr>
                <w:rFonts w:cstheme="minorHAnsi"/>
                <w:sz w:val="24"/>
                <w:szCs w:val="24"/>
              </w:rPr>
              <w:t>-0.48</w:t>
            </w:r>
          </w:p>
        </w:tc>
        <w:tc>
          <w:tcPr>
            <w:tcW w:w="1373" w:type="dxa"/>
            <w:tcBorders>
              <w:top w:val="single" w:sz="4" w:space="0" w:color="auto"/>
              <w:left w:val="nil"/>
              <w:bottom w:val="single" w:sz="4" w:space="0" w:color="auto"/>
              <w:right w:val="single" w:sz="4" w:space="0" w:color="auto"/>
            </w:tcBorders>
            <w:shd w:val="clear" w:color="auto" w:fill="auto"/>
          </w:tcPr>
          <w:p w14:paraId="2A62D748" w14:textId="77777777" w:rsidR="008A45D8" w:rsidRPr="00C316F8" w:rsidRDefault="008A45D8" w:rsidP="003B711F">
            <w:pPr>
              <w:jc w:val="both"/>
              <w:rPr>
                <w:rFonts w:cstheme="minorHAnsi"/>
                <w:color w:val="000000"/>
                <w:sz w:val="24"/>
                <w:szCs w:val="24"/>
              </w:rPr>
            </w:pPr>
            <w:r w:rsidRPr="00C316F8">
              <w:rPr>
                <w:rFonts w:cstheme="minorHAnsi"/>
                <w:sz w:val="24"/>
                <w:szCs w:val="24"/>
              </w:rPr>
              <w:t>-0.61</w:t>
            </w:r>
          </w:p>
        </w:tc>
        <w:tc>
          <w:tcPr>
            <w:tcW w:w="1355" w:type="dxa"/>
            <w:tcBorders>
              <w:top w:val="single" w:sz="4" w:space="0" w:color="auto"/>
              <w:left w:val="single" w:sz="4" w:space="0" w:color="auto"/>
              <w:bottom w:val="single" w:sz="4" w:space="0" w:color="auto"/>
              <w:right w:val="single" w:sz="4" w:space="0" w:color="auto"/>
            </w:tcBorders>
            <w:shd w:val="clear" w:color="auto" w:fill="auto"/>
          </w:tcPr>
          <w:p w14:paraId="2CE9B4BB" w14:textId="77777777" w:rsidR="008A45D8" w:rsidRPr="00C316F8" w:rsidRDefault="008A45D8" w:rsidP="003B711F">
            <w:pPr>
              <w:jc w:val="both"/>
              <w:rPr>
                <w:rFonts w:cstheme="minorHAnsi"/>
                <w:color w:val="000000"/>
                <w:sz w:val="24"/>
                <w:szCs w:val="24"/>
              </w:rPr>
            </w:pPr>
            <w:r w:rsidRPr="00C316F8">
              <w:rPr>
                <w:rFonts w:cstheme="minorHAnsi"/>
                <w:sz w:val="24"/>
                <w:szCs w:val="24"/>
              </w:rPr>
              <w:t>-0.35</w:t>
            </w:r>
          </w:p>
        </w:tc>
        <w:tc>
          <w:tcPr>
            <w:tcW w:w="1012" w:type="dxa"/>
            <w:tcBorders>
              <w:top w:val="single" w:sz="4" w:space="0" w:color="auto"/>
              <w:left w:val="single" w:sz="4" w:space="0" w:color="auto"/>
              <w:bottom w:val="single" w:sz="4" w:space="0" w:color="auto"/>
              <w:right w:val="single" w:sz="4" w:space="0" w:color="auto"/>
            </w:tcBorders>
            <w:shd w:val="clear" w:color="auto" w:fill="auto"/>
          </w:tcPr>
          <w:p w14:paraId="1CC74007" w14:textId="77777777" w:rsidR="008A45D8" w:rsidRPr="00C316F8" w:rsidRDefault="008A45D8" w:rsidP="003B711F">
            <w:pPr>
              <w:jc w:val="both"/>
              <w:rPr>
                <w:rFonts w:cstheme="minorHAnsi"/>
                <w:color w:val="000000"/>
                <w:sz w:val="24"/>
                <w:szCs w:val="24"/>
              </w:rPr>
            </w:pPr>
            <w:r w:rsidRPr="00C316F8">
              <w:rPr>
                <w:rFonts w:cstheme="minorHAnsi"/>
                <w:sz w:val="24"/>
                <w:szCs w:val="24"/>
              </w:rPr>
              <w:t>0.0005</w:t>
            </w:r>
          </w:p>
        </w:tc>
      </w:tr>
      <w:tr w:rsidR="008A45D8" w:rsidRPr="00C316F8" w14:paraId="5A0B1493" w14:textId="77777777" w:rsidTr="001444F0">
        <w:tc>
          <w:tcPr>
            <w:tcW w:w="1737" w:type="dxa"/>
            <w:vMerge/>
          </w:tcPr>
          <w:p w14:paraId="704B42CD" w14:textId="77777777" w:rsidR="008A45D8" w:rsidRPr="00C316F8" w:rsidRDefault="008A45D8" w:rsidP="003B711F">
            <w:pPr>
              <w:jc w:val="both"/>
              <w:rPr>
                <w:rFonts w:cstheme="minorHAnsi"/>
                <w:sz w:val="24"/>
                <w:szCs w:val="24"/>
              </w:rPr>
            </w:pPr>
          </w:p>
        </w:tc>
        <w:tc>
          <w:tcPr>
            <w:tcW w:w="1791" w:type="dxa"/>
          </w:tcPr>
          <w:p w14:paraId="124E9455" w14:textId="77777777" w:rsidR="008A45D8" w:rsidRPr="00C316F8" w:rsidRDefault="008A45D8" w:rsidP="003B711F">
            <w:pPr>
              <w:jc w:val="both"/>
              <w:rPr>
                <w:rFonts w:cstheme="minorHAnsi"/>
                <w:sz w:val="24"/>
                <w:szCs w:val="24"/>
              </w:rPr>
            </w:pPr>
            <w:r w:rsidRPr="00C316F8">
              <w:rPr>
                <w:rFonts w:cstheme="minorHAnsi"/>
                <w:sz w:val="24"/>
                <w:szCs w:val="24"/>
              </w:rPr>
              <w:t>(Intercept)</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6B9D3D0B" w14:textId="77777777" w:rsidR="008A45D8" w:rsidRPr="00C316F8" w:rsidRDefault="008A45D8" w:rsidP="003B711F">
            <w:pPr>
              <w:jc w:val="both"/>
              <w:rPr>
                <w:rFonts w:cstheme="minorHAnsi"/>
                <w:color w:val="000000"/>
                <w:sz w:val="24"/>
                <w:szCs w:val="24"/>
              </w:rPr>
            </w:pPr>
            <w:r w:rsidRPr="00C316F8">
              <w:rPr>
                <w:rFonts w:cstheme="minorHAnsi"/>
                <w:sz w:val="24"/>
                <w:szCs w:val="24"/>
              </w:rPr>
              <w:t>223.77</w:t>
            </w:r>
          </w:p>
        </w:tc>
        <w:tc>
          <w:tcPr>
            <w:tcW w:w="1373" w:type="dxa"/>
            <w:tcBorders>
              <w:top w:val="single" w:sz="4" w:space="0" w:color="auto"/>
              <w:left w:val="nil"/>
              <w:bottom w:val="single" w:sz="4" w:space="0" w:color="auto"/>
              <w:right w:val="single" w:sz="4" w:space="0" w:color="auto"/>
            </w:tcBorders>
            <w:shd w:val="clear" w:color="auto" w:fill="auto"/>
          </w:tcPr>
          <w:p w14:paraId="0A3BC9BB" w14:textId="77777777" w:rsidR="008A45D8" w:rsidRPr="00C316F8" w:rsidRDefault="008A45D8" w:rsidP="003B711F">
            <w:pPr>
              <w:jc w:val="both"/>
              <w:rPr>
                <w:rFonts w:cstheme="minorHAnsi"/>
                <w:color w:val="000000"/>
                <w:sz w:val="24"/>
                <w:szCs w:val="24"/>
              </w:rPr>
            </w:pPr>
            <w:r w:rsidRPr="00C316F8">
              <w:rPr>
                <w:rFonts w:cstheme="minorHAnsi"/>
                <w:sz w:val="24"/>
                <w:szCs w:val="24"/>
              </w:rPr>
              <w:t>149.37</w:t>
            </w:r>
          </w:p>
        </w:tc>
        <w:tc>
          <w:tcPr>
            <w:tcW w:w="1355" w:type="dxa"/>
            <w:tcBorders>
              <w:top w:val="single" w:sz="4" w:space="0" w:color="auto"/>
              <w:left w:val="single" w:sz="4" w:space="0" w:color="auto"/>
              <w:bottom w:val="single" w:sz="4" w:space="0" w:color="auto"/>
              <w:right w:val="single" w:sz="4" w:space="0" w:color="auto"/>
            </w:tcBorders>
            <w:shd w:val="clear" w:color="auto" w:fill="auto"/>
          </w:tcPr>
          <w:p w14:paraId="32B6D2CA" w14:textId="77777777" w:rsidR="008A45D8" w:rsidRPr="00C316F8" w:rsidRDefault="008A45D8" w:rsidP="003B711F">
            <w:pPr>
              <w:jc w:val="both"/>
              <w:rPr>
                <w:rFonts w:cstheme="minorHAnsi"/>
                <w:color w:val="000000"/>
                <w:sz w:val="24"/>
                <w:szCs w:val="24"/>
              </w:rPr>
            </w:pPr>
            <w:r w:rsidRPr="00C316F8">
              <w:rPr>
                <w:rFonts w:cstheme="minorHAnsi"/>
                <w:sz w:val="24"/>
                <w:szCs w:val="24"/>
              </w:rPr>
              <w:t>298.17</w:t>
            </w:r>
          </w:p>
        </w:tc>
        <w:tc>
          <w:tcPr>
            <w:tcW w:w="1012" w:type="dxa"/>
            <w:tcBorders>
              <w:top w:val="single" w:sz="4" w:space="0" w:color="auto"/>
              <w:left w:val="single" w:sz="4" w:space="0" w:color="auto"/>
              <w:bottom w:val="single" w:sz="4" w:space="0" w:color="auto"/>
              <w:right w:val="single" w:sz="4" w:space="0" w:color="auto"/>
            </w:tcBorders>
            <w:shd w:val="clear" w:color="auto" w:fill="auto"/>
          </w:tcPr>
          <w:p w14:paraId="2AC170A4" w14:textId="77777777" w:rsidR="008A45D8" w:rsidRPr="00C316F8" w:rsidRDefault="008A45D8" w:rsidP="003B711F">
            <w:pPr>
              <w:jc w:val="both"/>
              <w:rPr>
                <w:rFonts w:cstheme="minorHAnsi"/>
                <w:color w:val="000000"/>
                <w:sz w:val="24"/>
                <w:szCs w:val="24"/>
              </w:rPr>
            </w:pPr>
            <w:r w:rsidRPr="00C316F8">
              <w:rPr>
                <w:rFonts w:cstheme="minorHAnsi"/>
                <w:sz w:val="24"/>
                <w:szCs w:val="24"/>
              </w:rPr>
              <w:t>0.0005</w:t>
            </w:r>
          </w:p>
        </w:tc>
      </w:tr>
      <w:tr w:rsidR="008A45D8" w:rsidRPr="00C316F8" w14:paraId="7426CE91" w14:textId="77777777" w:rsidTr="001444F0">
        <w:tc>
          <w:tcPr>
            <w:tcW w:w="1737" w:type="dxa"/>
            <w:vMerge w:val="restart"/>
          </w:tcPr>
          <w:p w14:paraId="762132CD" w14:textId="77777777" w:rsidR="008A45D8" w:rsidRPr="00C316F8" w:rsidRDefault="008A45D8" w:rsidP="003B711F">
            <w:pPr>
              <w:jc w:val="both"/>
              <w:rPr>
                <w:rFonts w:cstheme="minorHAnsi"/>
                <w:sz w:val="24"/>
                <w:szCs w:val="24"/>
              </w:rPr>
            </w:pPr>
            <w:r w:rsidRPr="00C316F8">
              <w:rPr>
                <w:rFonts w:cstheme="minorHAnsi"/>
                <w:sz w:val="24"/>
                <w:szCs w:val="24"/>
              </w:rPr>
              <w:t>Household education conditions</w:t>
            </w:r>
          </w:p>
        </w:tc>
        <w:tc>
          <w:tcPr>
            <w:tcW w:w="1791" w:type="dxa"/>
          </w:tcPr>
          <w:p w14:paraId="72A6D5C9" w14:textId="77777777" w:rsidR="008A45D8" w:rsidRPr="00C316F8" w:rsidRDefault="008A45D8" w:rsidP="003B711F">
            <w:pPr>
              <w:jc w:val="both"/>
              <w:rPr>
                <w:rFonts w:cstheme="minorHAnsi"/>
                <w:sz w:val="24"/>
                <w:szCs w:val="24"/>
              </w:rPr>
            </w:pPr>
            <w:r w:rsidRPr="00C316F8">
              <w:rPr>
                <w:rFonts w:cstheme="minorHAnsi"/>
                <w:sz w:val="24"/>
                <w:szCs w:val="24"/>
              </w:rPr>
              <w:t>Low educational achievement</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5646ED8" w14:textId="77777777" w:rsidR="008A45D8" w:rsidRPr="00C316F8" w:rsidRDefault="008A45D8" w:rsidP="003B711F">
            <w:pPr>
              <w:jc w:val="both"/>
              <w:rPr>
                <w:rFonts w:cstheme="minorHAnsi"/>
                <w:sz w:val="24"/>
                <w:szCs w:val="24"/>
              </w:rPr>
            </w:pPr>
            <w:r w:rsidRPr="00C316F8">
              <w:rPr>
                <w:rFonts w:cstheme="minorHAnsi"/>
                <w:sz w:val="24"/>
                <w:szCs w:val="24"/>
              </w:rPr>
              <w:t>-1.92</w:t>
            </w:r>
          </w:p>
        </w:tc>
        <w:tc>
          <w:tcPr>
            <w:tcW w:w="1373" w:type="dxa"/>
            <w:tcBorders>
              <w:top w:val="single" w:sz="4" w:space="0" w:color="auto"/>
              <w:left w:val="nil"/>
              <w:bottom w:val="single" w:sz="4" w:space="0" w:color="auto"/>
              <w:right w:val="single" w:sz="4" w:space="0" w:color="auto"/>
            </w:tcBorders>
            <w:shd w:val="clear" w:color="auto" w:fill="auto"/>
          </w:tcPr>
          <w:p w14:paraId="78FCFA74" w14:textId="77777777" w:rsidR="008A45D8" w:rsidRPr="00C316F8" w:rsidRDefault="008A45D8" w:rsidP="003B711F">
            <w:pPr>
              <w:jc w:val="both"/>
              <w:rPr>
                <w:rFonts w:cstheme="minorHAnsi"/>
                <w:sz w:val="24"/>
                <w:szCs w:val="24"/>
              </w:rPr>
            </w:pPr>
            <w:r w:rsidRPr="00C316F8">
              <w:rPr>
                <w:rFonts w:cstheme="minorHAnsi"/>
                <w:sz w:val="24"/>
                <w:szCs w:val="24"/>
              </w:rPr>
              <w:t>-2.48</w:t>
            </w:r>
          </w:p>
        </w:tc>
        <w:tc>
          <w:tcPr>
            <w:tcW w:w="1355" w:type="dxa"/>
            <w:tcBorders>
              <w:top w:val="single" w:sz="4" w:space="0" w:color="auto"/>
              <w:left w:val="single" w:sz="4" w:space="0" w:color="auto"/>
              <w:bottom w:val="single" w:sz="4" w:space="0" w:color="auto"/>
              <w:right w:val="single" w:sz="4" w:space="0" w:color="auto"/>
            </w:tcBorders>
            <w:shd w:val="clear" w:color="auto" w:fill="auto"/>
          </w:tcPr>
          <w:p w14:paraId="1C2137DE" w14:textId="77777777" w:rsidR="008A45D8" w:rsidRPr="00C316F8" w:rsidRDefault="008A45D8" w:rsidP="003B711F">
            <w:pPr>
              <w:jc w:val="both"/>
              <w:rPr>
                <w:rFonts w:cstheme="minorHAnsi"/>
                <w:sz w:val="24"/>
                <w:szCs w:val="24"/>
              </w:rPr>
            </w:pPr>
            <w:r w:rsidRPr="00C316F8">
              <w:rPr>
                <w:rFonts w:cstheme="minorHAnsi"/>
                <w:sz w:val="24"/>
                <w:szCs w:val="24"/>
              </w:rPr>
              <w:t>-1.37</w:t>
            </w:r>
          </w:p>
        </w:tc>
        <w:tc>
          <w:tcPr>
            <w:tcW w:w="1012" w:type="dxa"/>
            <w:tcBorders>
              <w:top w:val="single" w:sz="4" w:space="0" w:color="auto"/>
              <w:left w:val="single" w:sz="4" w:space="0" w:color="auto"/>
              <w:bottom w:val="single" w:sz="4" w:space="0" w:color="auto"/>
              <w:right w:val="single" w:sz="4" w:space="0" w:color="auto"/>
            </w:tcBorders>
            <w:shd w:val="clear" w:color="auto" w:fill="auto"/>
          </w:tcPr>
          <w:p w14:paraId="4168FFB6" w14:textId="77777777" w:rsidR="008A45D8" w:rsidRPr="00C316F8" w:rsidRDefault="008A45D8" w:rsidP="003B711F">
            <w:pPr>
              <w:jc w:val="both"/>
              <w:rPr>
                <w:rFonts w:cstheme="minorHAnsi"/>
                <w:sz w:val="24"/>
                <w:szCs w:val="24"/>
              </w:rPr>
            </w:pPr>
            <w:r w:rsidRPr="00C316F8">
              <w:rPr>
                <w:rFonts w:cstheme="minorHAnsi"/>
                <w:sz w:val="24"/>
                <w:szCs w:val="24"/>
              </w:rPr>
              <w:t>&lt;0.0005</w:t>
            </w:r>
          </w:p>
        </w:tc>
      </w:tr>
      <w:tr w:rsidR="008A45D8" w:rsidRPr="00C316F8" w14:paraId="49ABBC91" w14:textId="77777777" w:rsidTr="001444F0">
        <w:tc>
          <w:tcPr>
            <w:tcW w:w="1737" w:type="dxa"/>
            <w:vMerge/>
          </w:tcPr>
          <w:p w14:paraId="0FCF8EA2" w14:textId="77777777" w:rsidR="008A45D8" w:rsidRPr="00C316F8" w:rsidRDefault="008A45D8" w:rsidP="003B711F">
            <w:pPr>
              <w:jc w:val="both"/>
              <w:rPr>
                <w:rFonts w:cstheme="minorHAnsi"/>
                <w:sz w:val="24"/>
                <w:szCs w:val="24"/>
              </w:rPr>
            </w:pPr>
          </w:p>
        </w:tc>
        <w:tc>
          <w:tcPr>
            <w:tcW w:w="1791" w:type="dxa"/>
          </w:tcPr>
          <w:p w14:paraId="289F9D5E" w14:textId="77777777" w:rsidR="008A45D8" w:rsidRPr="00C316F8" w:rsidRDefault="008A45D8" w:rsidP="003B711F">
            <w:pPr>
              <w:jc w:val="both"/>
              <w:rPr>
                <w:rFonts w:cstheme="minorHAnsi"/>
                <w:sz w:val="24"/>
                <w:szCs w:val="24"/>
              </w:rPr>
            </w:pPr>
            <w:r w:rsidRPr="00C316F8">
              <w:rPr>
                <w:rFonts w:cstheme="minorHAnsi"/>
                <w:sz w:val="24"/>
                <w:szCs w:val="24"/>
              </w:rPr>
              <w:t>Illiteracy</w:t>
            </w:r>
          </w:p>
        </w:tc>
        <w:tc>
          <w:tcPr>
            <w:tcW w:w="1560" w:type="dxa"/>
          </w:tcPr>
          <w:p w14:paraId="0E64E1B0" w14:textId="77777777" w:rsidR="008A45D8" w:rsidRPr="00C316F8" w:rsidRDefault="008A45D8" w:rsidP="003B711F">
            <w:pPr>
              <w:jc w:val="both"/>
              <w:rPr>
                <w:rFonts w:cstheme="minorHAnsi"/>
                <w:sz w:val="24"/>
                <w:szCs w:val="24"/>
              </w:rPr>
            </w:pPr>
            <w:r w:rsidRPr="00C316F8">
              <w:rPr>
                <w:rFonts w:cstheme="minorHAnsi"/>
                <w:sz w:val="24"/>
                <w:szCs w:val="24"/>
              </w:rPr>
              <w:t>-0.51</w:t>
            </w:r>
          </w:p>
        </w:tc>
        <w:tc>
          <w:tcPr>
            <w:tcW w:w="1373" w:type="dxa"/>
            <w:tcBorders>
              <w:top w:val="single" w:sz="4" w:space="0" w:color="auto"/>
            </w:tcBorders>
          </w:tcPr>
          <w:p w14:paraId="4F32DBCD" w14:textId="77777777" w:rsidR="008A45D8" w:rsidRPr="00C316F8" w:rsidRDefault="008A45D8" w:rsidP="003B711F">
            <w:pPr>
              <w:jc w:val="both"/>
              <w:rPr>
                <w:rFonts w:cstheme="minorHAnsi"/>
                <w:sz w:val="24"/>
                <w:szCs w:val="24"/>
              </w:rPr>
            </w:pPr>
            <w:r w:rsidRPr="00C316F8">
              <w:rPr>
                <w:rFonts w:cstheme="minorHAnsi"/>
                <w:sz w:val="24"/>
                <w:szCs w:val="24"/>
              </w:rPr>
              <w:t>-1.35</w:t>
            </w:r>
          </w:p>
        </w:tc>
        <w:tc>
          <w:tcPr>
            <w:tcW w:w="1355" w:type="dxa"/>
            <w:tcBorders>
              <w:top w:val="single" w:sz="4" w:space="0" w:color="auto"/>
            </w:tcBorders>
          </w:tcPr>
          <w:p w14:paraId="6D273085" w14:textId="77777777" w:rsidR="008A45D8" w:rsidRPr="00C316F8" w:rsidRDefault="008A45D8" w:rsidP="003B711F">
            <w:pPr>
              <w:jc w:val="both"/>
              <w:rPr>
                <w:rFonts w:cstheme="minorHAnsi"/>
                <w:sz w:val="24"/>
                <w:szCs w:val="24"/>
              </w:rPr>
            </w:pPr>
            <w:r w:rsidRPr="00C316F8">
              <w:rPr>
                <w:rFonts w:cstheme="minorHAnsi"/>
                <w:sz w:val="24"/>
                <w:szCs w:val="24"/>
              </w:rPr>
              <w:t>0.33</w:t>
            </w:r>
          </w:p>
        </w:tc>
        <w:tc>
          <w:tcPr>
            <w:tcW w:w="1012" w:type="dxa"/>
            <w:tcBorders>
              <w:top w:val="single" w:sz="4" w:space="0" w:color="auto"/>
            </w:tcBorders>
          </w:tcPr>
          <w:p w14:paraId="137D517C" w14:textId="77777777" w:rsidR="008A45D8" w:rsidRPr="00C316F8" w:rsidRDefault="008A45D8" w:rsidP="003B711F">
            <w:pPr>
              <w:jc w:val="both"/>
              <w:rPr>
                <w:rFonts w:cstheme="minorHAnsi"/>
                <w:sz w:val="24"/>
                <w:szCs w:val="24"/>
              </w:rPr>
            </w:pPr>
            <w:r w:rsidRPr="00C316F8">
              <w:rPr>
                <w:rFonts w:cstheme="minorHAnsi"/>
                <w:sz w:val="24"/>
                <w:szCs w:val="24"/>
              </w:rPr>
              <w:t>0.23</w:t>
            </w:r>
          </w:p>
        </w:tc>
      </w:tr>
      <w:tr w:rsidR="008A45D8" w:rsidRPr="00C316F8" w14:paraId="31648A94" w14:textId="77777777" w:rsidTr="001444F0">
        <w:tc>
          <w:tcPr>
            <w:tcW w:w="1737" w:type="dxa"/>
            <w:vMerge w:val="restart"/>
          </w:tcPr>
          <w:p w14:paraId="5C6DDB32" w14:textId="77777777" w:rsidR="008A45D8" w:rsidRPr="00C316F8" w:rsidRDefault="008A45D8" w:rsidP="003B711F">
            <w:pPr>
              <w:jc w:val="both"/>
              <w:rPr>
                <w:rFonts w:cstheme="minorHAnsi"/>
                <w:sz w:val="24"/>
                <w:szCs w:val="24"/>
              </w:rPr>
            </w:pPr>
            <w:r w:rsidRPr="00C316F8">
              <w:rPr>
                <w:rFonts w:cstheme="minorHAnsi"/>
                <w:sz w:val="24"/>
                <w:szCs w:val="24"/>
              </w:rPr>
              <w:lastRenderedPageBreak/>
              <w:t>Childhood and youth conditions</w:t>
            </w:r>
          </w:p>
        </w:tc>
        <w:tc>
          <w:tcPr>
            <w:tcW w:w="1791" w:type="dxa"/>
          </w:tcPr>
          <w:p w14:paraId="7D7EE2CE" w14:textId="77777777" w:rsidR="008A45D8" w:rsidRPr="00C316F8" w:rsidRDefault="008A45D8" w:rsidP="003B711F">
            <w:pPr>
              <w:jc w:val="both"/>
              <w:rPr>
                <w:rFonts w:cstheme="minorHAnsi"/>
                <w:sz w:val="24"/>
                <w:szCs w:val="24"/>
              </w:rPr>
            </w:pPr>
            <w:r w:rsidRPr="00C316F8">
              <w:rPr>
                <w:rFonts w:cstheme="minorHAnsi"/>
                <w:sz w:val="24"/>
                <w:szCs w:val="24"/>
              </w:rPr>
              <w:t>School non-attendance</w:t>
            </w:r>
          </w:p>
        </w:tc>
        <w:tc>
          <w:tcPr>
            <w:tcW w:w="1560" w:type="dxa"/>
          </w:tcPr>
          <w:p w14:paraId="07CFEA48" w14:textId="77777777" w:rsidR="008A45D8" w:rsidRPr="00C316F8" w:rsidRDefault="008A45D8" w:rsidP="003B711F">
            <w:pPr>
              <w:jc w:val="both"/>
              <w:rPr>
                <w:rFonts w:cstheme="minorHAnsi"/>
                <w:sz w:val="24"/>
                <w:szCs w:val="24"/>
              </w:rPr>
            </w:pPr>
            <w:r w:rsidRPr="00C316F8">
              <w:rPr>
                <w:rFonts w:cstheme="minorHAnsi"/>
                <w:sz w:val="24"/>
                <w:szCs w:val="24"/>
              </w:rPr>
              <w:t>1.13</w:t>
            </w:r>
          </w:p>
        </w:tc>
        <w:tc>
          <w:tcPr>
            <w:tcW w:w="1373" w:type="dxa"/>
          </w:tcPr>
          <w:p w14:paraId="4E5B7FEE" w14:textId="77777777" w:rsidR="008A45D8" w:rsidRPr="00C316F8" w:rsidRDefault="008A45D8" w:rsidP="003B711F">
            <w:pPr>
              <w:jc w:val="both"/>
              <w:rPr>
                <w:rFonts w:cstheme="minorHAnsi"/>
                <w:sz w:val="24"/>
                <w:szCs w:val="24"/>
              </w:rPr>
            </w:pPr>
            <w:r w:rsidRPr="00C316F8">
              <w:rPr>
                <w:rFonts w:cstheme="minorHAnsi"/>
                <w:sz w:val="24"/>
                <w:szCs w:val="24"/>
              </w:rPr>
              <w:t>-0.59</w:t>
            </w:r>
          </w:p>
        </w:tc>
        <w:tc>
          <w:tcPr>
            <w:tcW w:w="1355" w:type="dxa"/>
          </w:tcPr>
          <w:p w14:paraId="2747BB02" w14:textId="77777777" w:rsidR="008A45D8" w:rsidRPr="00C316F8" w:rsidRDefault="008A45D8" w:rsidP="003B711F">
            <w:pPr>
              <w:jc w:val="both"/>
              <w:rPr>
                <w:rFonts w:cstheme="minorHAnsi"/>
                <w:sz w:val="24"/>
                <w:szCs w:val="24"/>
              </w:rPr>
            </w:pPr>
            <w:r w:rsidRPr="00C316F8">
              <w:rPr>
                <w:rFonts w:cstheme="minorHAnsi"/>
                <w:sz w:val="24"/>
                <w:szCs w:val="24"/>
              </w:rPr>
              <w:t>2.85</w:t>
            </w:r>
          </w:p>
        </w:tc>
        <w:tc>
          <w:tcPr>
            <w:tcW w:w="1012" w:type="dxa"/>
          </w:tcPr>
          <w:p w14:paraId="05DE04A3" w14:textId="77777777" w:rsidR="008A45D8" w:rsidRPr="00C316F8" w:rsidRDefault="008A45D8" w:rsidP="003B711F">
            <w:pPr>
              <w:jc w:val="both"/>
              <w:rPr>
                <w:rFonts w:cstheme="minorHAnsi"/>
                <w:sz w:val="24"/>
                <w:szCs w:val="24"/>
              </w:rPr>
            </w:pPr>
            <w:r w:rsidRPr="00C316F8">
              <w:rPr>
                <w:rFonts w:cstheme="minorHAnsi"/>
                <w:sz w:val="24"/>
                <w:szCs w:val="24"/>
              </w:rPr>
              <w:t>0.19</w:t>
            </w:r>
          </w:p>
        </w:tc>
      </w:tr>
      <w:tr w:rsidR="008A45D8" w:rsidRPr="00C316F8" w14:paraId="772030B2" w14:textId="77777777" w:rsidTr="001444F0">
        <w:tc>
          <w:tcPr>
            <w:tcW w:w="1737" w:type="dxa"/>
            <w:vMerge/>
          </w:tcPr>
          <w:p w14:paraId="79250D6E" w14:textId="77777777" w:rsidR="008A45D8" w:rsidRPr="00C316F8" w:rsidRDefault="008A45D8" w:rsidP="003B711F">
            <w:pPr>
              <w:jc w:val="both"/>
              <w:rPr>
                <w:rFonts w:cstheme="minorHAnsi"/>
                <w:sz w:val="24"/>
                <w:szCs w:val="24"/>
              </w:rPr>
            </w:pPr>
          </w:p>
        </w:tc>
        <w:tc>
          <w:tcPr>
            <w:tcW w:w="1791" w:type="dxa"/>
          </w:tcPr>
          <w:p w14:paraId="1D81219C" w14:textId="77777777" w:rsidR="008A45D8" w:rsidRPr="00C316F8" w:rsidRDefault="008A45D8" w:rsidP="003B711F">
            <w:pPr>
              <w:jc w:val="both"/>
              <w:rPr>
                <w:rFonts w:cstheme="minorHAnsi"/>
                <w:sz w:val="24"/>
                <w:szCs w:val="24"/>
              </w:rPr>
            </w:pPr>
            <w:r w:rsidRPr="00C316F8">
              <w:rPr>
                <w:rFonts w:cstheme="minorHAnsi"/>
                <w:sz w:val="24"/>
                <w:szCs w:val="24"/>
              </w:rPr>
              <w:t>School lag</w:t>
            </w:r>
          </w:p>
        </w:tc>
        <w:tc>
          <w:tcPr>
            <w:tcW w:w="1560" w:type="dxa"/>
            <w:vAlign w:val="bottom"/>
          </w:tcPr>
          <w:p w14:paraId="7DF31FD5" w14:textId="77777777" w:rsidR="008A45D8" w:rsidRPr="00C316F8" w:rsidRDefault="008A45D8" w:rsidP="003B711F">
            <w:pPr>
              <w:jc w:val="both"/>
              <w:rPr>
                <w:rFonts w:cstheme="minorHAnsi"/>
                <w:sz w:val="24"/>
                <w:szCs w:val="24"/>
              </w:rPr>
            </w:pPr>
            <w:r w:rsidRPr="00C316F8">
              <w:rPr>
                <w:rFonts w:cstheme="minorHAnsi"/>
                <w:color w:val="000000"/>
                <w:sz w:val="24"/>
                <w:szCs w:val="24"/>
              </w:rPr>
              <w:t>-0.58</w:t>
            </w:r>
          </w:p>
        </w:tc>
        <w:tc>
          <w:tcPr>
            <w:tcW w:w="1373" w:type="dxa"/>
            <w:vAlign w:val="bottom"/>
          </w:tcPr>
          <w:p w14:paraId="73191720" w14:textId="77777777" w:rsidR="008A45D8" w:rsidRPr="00C316F8" w:rsidRDefault="008A45D8" w:rsidP="003B711F">
            <w:pPr>
              <w:jc w:val="both"/>
              <w:rPr>
                <w:rFonts w:cstheme="minorHAnsi"/>
                <w:sz w:val="24"/>
                <w:szCs w:val="24"/>
              </w:rPr>
            </w:pPr>
            <w:r w:rsidRPr="00C316F8">
              <w:rPr>
                <w:rFonts w:cstheme="minorHAnsi"/>
                <w:color w:val="000000"/>
                <w:sz w:val="24"/>
                <w:szCs w:val="24"/>
              </w:rPr>
              <w:t>-1.53</w:t>
            </w:r>
          </w:p>
        </w:tc>
        <w:tc>
          <w:tcPr>
            <w:tcW w:w="1355" w:type="dxa"/>
            <w:vAlign w:val="bottom"/>
          </w:tcPr>
          <w:p w14:paraId="2499246E" w14:textId="77777777" w:rsidR="008A45D8" w:rsidRPr="00C316F8" w:rsidRDefault="008A45D8" w:rsidP="003B711F">
            <w:pPr>
              <w:jc w:val="both"/>
              <w:rPr>
                <w:rFonts w:cstheme="minorHAnsi"/>
                <w:sz w:val="24"/>
                <w:szCs w:val="24"/>
              </w:rPr>
            </w:pPr>
            <w:r w:rsidRPr="00C316F8">
              <w:rPr>
                <w:rFonts w:cstheme="minorHAnsi"/>
                <w:color w:val="000000"/>
                <w:sz w:val="24"/>
                <w:szCs w:val="24"/>
              </w:rPr>
              <w:t>0.38</w:t>
            </w:r>
          </w:p>
        </w:tc>
        <w:tc>
          <w:tcPr>
            <w:tcW w:w="1012" w:type="dxa"/>
            <w:vAlign w:val="bottom"/>
          </w:tcPr>
          <w:p w14:paraId="221768E7" w14:textId="77777777" w:rsidR="008A45D8" w:rsidRPr="00C316F8" w:rsidRDefault="008A45D8" w:rsidP="003B711F">
            <w:pPr>
              <w:jc w:val="both"/>
              <w:rPr>
                <w:rFonts w:cstheme="minorHAnsi"/>
                <w:sz w:val="24"/>
                <w:szCs w:val="24"/>
              </w:rPr>
            </w:pPr>
            <w:r w:rsidRPr="00C316F8">
              <w:rPr>
                <w:rFonts w:cstheme="minorHAnsi"/>
                <w:color w:val="000000"/>
                <w:sz w:val="24"/>
                <w:szCs w:val="24"/>
              </w:rPr>
              <w:t>0.23</w:t>
            </w:r>
          </w:p>
        </w:tc>
      </w:tr>
      <w:tr w:rsidR="008A45D8" w:rsidRPr="00C316F8" w14:paraId="5F59C3AE" w14:textId="77777777" w:rsidTr="001444F0">
        <w:tc>
          <w:tcPr>
            <w:tcW w:w="1737" w:type="dxa"/>
            <w:vMerge/>
          </w:tcPr>
          <w:p w14:paraId="28F90125" w14:textId="77777777" w:rsidR="008A45D8" w:rsidRPr="00C316F8" w:rsidRDefault="008A45D8" w:rsidP="003B711F">
            <w:pPr>
              <w:jc w:val="both"/>
              <w:rPr>
                <w:rFonts w:cstheme="minorHAnsi"/>
                <w:sz w:val="24"/>
                <w:szCs w:val="24"/>
              </w:rPr>
            </w:pPr>
          </w:p>
        </w:tc>
        <w:tc>
          <w:tcPr>
            <w:tcW w:w="1791" w:type="dxa"/>
          </w:tcPr>
          <w:p w14:paraId="73ADB23E" w14:textId="77777777" w:rsidR="008A45D8" w:rsidRPr="00C316F8" w:rsidRDefault="008A45D8" w:rsidP="003B711F">
            <w:pPr>
              <w:jc w:val="both"/>
              <w:rPr>
                <w:rFonts w:cstheme="minorHAnsi"/>
                <w:sz w:val="24"/>
                <w:szCs w:val="24"/>
              </w:rPr>
            </w:pPr>
            <w:r w:rsidRPr="00C316F8">
              <w:rPr>
                <w:rFonts w:cstheme="minorHAnsi"/>
                <w:sz w:val="24"/>
                <w:szCs w:val="24"/>
              </w:rPr>
              <w:t>Barriers to access for early childhood care</w:t>
            </w:r>
          </w:p>
        </w:tc>
        <w:tc>
          <w:tcPr>
            <w:tcW w:w="1560" w:type="dxa"/>
            <w:vAlign w:val="bottom"/>
          </w:tcPr>
          <w:p w14:paraId="699BF180" w14:textId="77777777" w:rsidR="008A45D8" w:rsidRPr="00C316F8" w:rsidRDefault="008A45D8" w:rsidP="003B711F">
            <w:pPr>
              <w:jc w:val="both"/>
              <w:rPr>
                <w:rFonts w:cstheme="minorHAnsi"/>
                <w:sz w:val="24"/>
                <w:szCs w:val="24"/>
              </w:rPr>
            </w:pPr>
            <w:r w:rsidRPr="00C316F8">
              <w:rPr>
                <w:rFonts w:cstheme="minorHAnsi"/>
                <w:color w:val="000000"/>
                <w:sz w:val="24"/>
                <w:szCs w:val="24"/>
              </w:rPr>
              <w:t>-2.03</w:t>
            </w:r>
          </w:p>
        </w:tc>
        <w:tc>
          <w:tcPr>
            <w:tcW w:w="1373" w:type="dxa"/>
            <w:vAlign w:val="bottom"/>
          </w:tcPr>
          <w:p w14:paraId="1E8CBACE" w14:textId="77777777" w:rsidR="008A45D8" w:rsidRPr="00C316F8" w:rsidRDefault="008A45D8" w:rsidP="003B711F">
            <w:pPr>
              <w:jc w:val="both"/>
              <w:rPr>
                <w:rFonts w:cstheme="minorHAnsi"/>
                <w:sz w:val="24"/>
                <w:szCs w:val="24"/>
              </w:rPr>
            </w:pPr>
            <w:r w:rsidRPr="00C316F8">
              <w:rPr>
                <w:rFonts w:cstheme="minorHAnsi"/>
                <w:color w:val="000000"/>
                <w:sz w:val="24"/>
                <w:szCs w:val="24"/>
              </w:rPr>
              <w:t>-4.95</w:t>
            </w:r>
          </w:p>
        </w:tc>
        <w:tc>
          <w:tcPr>
            <w:tcW w:w="1355" w:type="dxa"/>
            <w:vAlign w:val="bottom"/>
          </w:tcPr>
          <w:p w14:paraId="17E73B9E" w14:textId="77777777" w:rsidR="008A45D8" w:rsidRPr="00C316F8" w:rsidRDefault="008A45D8" w:rsidP="003B711F">
            <w:pPr>
              <w:jc w:val="both"/>
              <w:rPr>
                <w:rFonts w:cstheme="minorHAnsi"/>
                <w:sz w:val="24"/>
                <w:szCs w:val="24"/>
              </w:rPr>
            </w:pPr>
            <w:r w:rsidRPr="00C316F8">
              <w:rPr>
                <w:rFonts w:cstheme="minorHAnsi"/>
                <w:color w:val="000000"/>
                <w:sz w:val="24"/>
                <w:szCs w:val="24"/>
              </w:rPr>
              <w:t>0.90</w:t>
            </w:r>
          </w:p>
        </w:tc>
        <w:tc>
          <w:tcPr>
            <w:tcW w:w="1012" w:type="dxa"/>
            <w:vAlign w:val="bottom"/>
          </w:tcPr>
          <w:p w14:paraId="1CE6DA84" w14:textId="77777777" w:rsidR="008A45D8" w:rsidRPr="00C316F8" w:rsidRDefault="008A45D8" w:rsidP="003B711F">
            <w:pPr>
              <w:jc w:val="both"/>
              <w:rPr>
                <w:rFonts w:cstheme="minorHAnsi"/>
                <w:sz w:val="24"/>
                <w:szCs w:val="24"/>
              </w:rPr>
            </w:pPr>
            <w:r w:rsidRPr="00C316F8">
              <w:rPr>
                <w:rFonts w:cstheme="minorHAnsi"/>
                <w:color w:val="000000"/>
                <w:sz w:val="24"/>
                <w:szCs w:val="24"/>
              </w:rPr>
              <w:t>0.17</w:t>
            </w:r>
          </w:p>
        </w:tc>
      </w:tr>
      <w:tr w:rsidR="008A45D8" w:rsidRPr="00C316F8" w14:paraId="4302D776" w14:textId="77777777" w:rsidTr="001444F0">
        <w:tc>
          <w:tcPr>
            <w:tcW w:w="1737" w:type="dxa"/>
            <w:vMerge/>
          </w:tcPr>
          <w:p w14:paraId="11B4E03A" w14:textId="77777777" w:rsidR="008A45D8" w:rsidRPr="00C316F8" w:rsidRDefault="008A45D8" w:rsidP="003B711F">
            <w:pPr>
              <w:jc w:val="both"/>
              <w:rPr>
                <w:rFonts w:cstheme="minorHAnsi"/>
                <w:sz w:val="24"/>
                <w:szCs w:val="24"/>
              </w:rPr>
            </w:pPr>
          </w:p>
        </w:tc>
        <w:tc>
          <w:tcPr>
            <w:tcW w:w="1791" w:type="dxa"/>
          </w:tcPr>
          <w:p w14:paraId="630AC7C4" w14:textId="77777777" w:rsidR="008A45D8" w:rsidRPr="00C316F8" w:rsidRDefault="008A45D8" w:rsidP="003B711F">
            <w:pPr>
              <w:jc w:val="both"/>
              <w:rPr>
                <w:rFonts w:cstheme="minorHAnsi"/>
                <w:sz w:val="24"/>
                <w:szCs w:val="24"/>
              </w:rPr>
            </w:pPr>
            <w:r w:rsidRPr="00C316F8">
              <w:rPr>
                <w:rFonts w:cstheme="minorHAnsi"/>
                <w:sz w:val="24"/>
                <w:szCs w:val="24"/>
              </w:rPr>
              <w:t>Child labor</w:t>
            </w:r>
          </w:p>
        </w:tc>
        <w:tc>
          <w:tcPr>
            <w:tcW w:w="1560" w:type="dxa"/>
            <w:vAlign w:val="bottom"/>
          </w:tcPr>
          <w:p w14:paraId="2F9E9AF9" w14:textId="77777777" w:rsidR="008A45D8" w:rsidRPr="00C316F8" w:rsidRDefault="008A45D8" w:rsidP="003B711F">
            <w:pPr>
              <w:jc w:val="both"/>
              <w:rPr>
                <w:rFonts w:cstheme="minorHAnsi"/>
                <w:sz w:val="24"/>
                <w:szCs w:val="24"/>
              </w:rPr>
            </w:pPr>
            <w:r w:rsidRPr="00C316F8">
              <w:rPr>
                <w:rFonts w:cstheme="minorHAnsi"/>
                <w:color w:val="000000"/>
                <w:sz w:val="24"/>
                <w:szCs w:val="24"/>
              </w:rPr>
              <w:t>-2.62</w:t>
            </w:r>
          </w:p>
        </w:tc>
        <w:tc>
          <w:tcPr>
            <w:tcW w:w="1373" w:type="dxa"/>
            <w:vAlign w:val="bottom"/>
          </w:tcPr>
          <w:p w14:paraId="72AC0417" w14:textId="77777777" w:rsidR="008A45D8" w:rsidRPr="00C316F8" w:rsidRDefault="008A45D8" w:rsidP="003B711F">
            <w:pPr>
              <w:jc w:val="both"/>
              <w:rPr>
                <w:rFonts w:cstheme="minorHAnsi"/>
                <w:sz w:val="24"/>
                <w:szCs w:val="24"/>
              </w:rPr>
            </w:pPr>
            <w:r w:rsidRPr="00C316F8">
              <w:rPr>
                <w:rFonts w:cstheme="minorHAnsi"/>
                <w:color w:val="000000"/>
                <w:sz w:val="24"/>
                <w:szCs w:val="24"/>
              </w:rPr>
              <w:t>-6.42</w:t>
            </w:r>
          </w:p>
        </w:tc>
        <w:tc>
          <w:tcPr>
            <w:tcW w:w="1355" w:type="dxa"/>
            <w:vAlign w:val="bottom"/>
          </w:tcPr>
          <w:p w14:paraId="4C25EB0E" w14:textId="77777777" w:rsidR="008A45D8" w:rsidRPr="00C316F8" w:rsidRDefault="008A45D8" w:rsidP="003B711F">
            <w:pPr>
              <w:jc w:val="both"/>
              <w:rPr>
                <w:rFonts w:cstheme="minorHAnsi"/>
                <w:sz w:val="24"/>
                <w:szCs w:val="24"/>
              </w:rPr>
            </w:pPr>
            <w:r w:rsidRPr="00C316F8">
              <w:rPr>
                <w:rFonts w:cstheme="minorHAnsi"/>
                <w:color w:val="000000"/>
                <w:sz w:val="24"/>
                <w:szCs w:val="24"/>
              </w:rPr>
              <w:t>1.17</w:t>
            </w:r>
          </w:p>
        </w:tc>
        <w:tc>
          <w:tcPr>
            <w:tcW w:w="1012" w:type="dxa"/>
            <w:vAlign w:val="bottom"/>
          </w:tcPr>
          <w:p w14:paraId="65B745EF" w14:textId="77777777" w:rsidR="008A45D8" w:rsidRPr="00C316F8" w:rsidRDefault="008A45D8" w:rsidP="003B711F">
            <w:pPr>
              <w:jc w:val="both"/>
              <w:rPr>
                <w:rFonts w:cstheme="minorHAnsi"/>
                <w:sz w:val="24"/>
                <w:szCs w:val="24"/>
              </w:rPr>
            </w:pPr>
            <w:r w:rsidRPr="00C316F8">
              <w:rPr>
                <w:rFonts w:cstheme="minorHAnsi"/>
                <w:color w:val="000000"/>
                <w:sz w:val="24"/>
                <w:szCs w:val="24"/>
              </w:rPr>
              <w:t>0.17</w:t>
            </w:r>
          </w:p>
        </w:tc>
      </w:tr>
      <w:tr w:rsidR="008A45D8" w:rsidRPr="00C316F8" w14:paraId="07CAA2D4" w14:textId="77777777" w:rsidTr="001444F0">
        <w:tc>
          <w:tcPr>
            <w:tcW w:w="1737" w:type="dxa"/>
            <w:vMerge w:val="restart"/>
          </w:tcPr>
          <w:p w14:paraId="5F10AA73" w14:textId="77777777" w:rsidR="008A45D8" w:rsidRPr="00C316F8" w:rsidRDefault="008A45D8" w:rsidP="003B711F">
            <w:pPr>
              <w:jc w:val="both"/>
              <w:rPr>
                <w:rFonts w:cstheme="minorHAnsi"/>
                <w:sz w:val="24"/>
                <w:szCs w:val="24"/>
              </w:rPr>
            </w:pPr>
            <w:r w:rsidRPr="00C316F8">
              <w:rPr>
                <w:rFonts w:cstheme="minorHAnsi"/>
                <w:sz w:val="24"/>
                <w:szCs w:val="24"/>
              </w:rPr>
              <w:t>Employment</w:t>
            </w:r>
          </w:p>
        </w:tc>
        <w:tc>
          <w:tcPr>
            <w:tcW w:w="1791" w:type="dxa"/>
          </w:tcPr>
          <w:p w14:paraId="1D67DCCA" w14:textId="77777777" w:rsidR="008A45D8" w:rsidRPr="00C316F8" w:rsidRDefault="008A45D8" w:rsidP="003B711F">
            <w:pPr>
              <w:jc w:val="both"/>
              <w:rPr>
                <w:rFonts w:cstheme="minorHAnsi"/>
                <w:sz w:val="24"/>
                <w:szCs w:val="24"/>
              </w:rPr>
            </w:pPr>
            <w:r w:rsidRPr="00C316F8">
              <w:rPr>
                <w:rFonts w:cstheme="minorHAnsi"/>
                <w:sz w:val="24"/>
                <w:szCs w:val="24"/>
              </w:rPr>
              <w:t>Long-term unemployment</w:t>
            </w:r>
          </w:p>
        </w:tc>
        <w:tc>
          <w:tcPr>
            <w:tcW w:w="1560" w:type="dxa"/>
            <w:vAlign w:val="bottom"/>
          </w:tcPr>
          <w:p w14:paraId="348DF126" w14:textId="77777777" w:rsidR="008A45D8" w:rsidRPr="00C316F8" w:rsidRDefault="008A45D8" w:rsidP="003B711F">
            <w:pPr>
              <w:jc w:val="both"/>
              <w:rPr>
                <w:rFonts w:cstheme="minorHAnsi"/>
                <w:sz w:val="24"/>
                <w:szCs w:val="24"/>
              </w:rPr>
            </w:pPr>
            <w:r w:rsidRPr="00C316F8">
              <w:rPr>
                <w:rFonts w:cstheme="minorHAnsi"/>
                <w:color w:val="000000"/>
                <w:sz w:val="24"/>
                <w:szCs w:val="24"/>
              </w:rPr>
              <w:t>-0.38</w:t>
            </w:r>
          </w:p>
        </w:tc>
        <w:tc>
          <w:tcPr>
            <w:tcW w:w="1373" w:type="dxa"/>
            <w:vAlign w:val="bottom"/>
          </w:tcPr>
          <w:p w14:paraId="44690862" w14:textId="77777777" w:rsidR="008A45D8" w:rsidRPr="00C316F8" w:rsidRDefault="008A45D8" w:rsidP="003B711F">
            <w:pPr>
              <w:jc w:val="both"/>
              <w:rPr>
                <w:rFonts w:cstheme="minorHAnsi"/>
                <w:sz w:val="24"/>
                <w:szCs w:val="24"/>
              </w:rPr>
            </w:pPr>
            <w:r w:rsidRPr="00C316F8">
              <w:rPr>
                <w:rFonts w:cstheme="minorHAnsi"/>
                <w:color w:val="000000"/>
                <w:sz w:val="24"/>
                <w:szCs w:val="24"/>
              </w:rPr>
              <w:t>-1.02</w:t>
            </w:r>
          </w:p>
        </w:tc>
        <w:tc>
          <w:tcPr>
            <w:tcW w:w="1355" w:type="dxa"/>
            <w:vAlign w:val="bottom"/>
          </w:tcPr>
          <w:p w14:paraId="0C737FAE" w14:textId="77777777" w:rsidR="008A45D8" w:rsidRPr="00C316F8" w:rsidRDefault="008A45D8" w:rsidP="003B711F">
            <w:pPr>
              <w:jc w:val="both"/>
              <w:rPr>
                <w:rFonts w:cstheme="minorHAnsi"/>
                <w:sz w:val="24"/>
                <w:szCs w:val="24"/>
              </w:rPr>
            </w:pPr>
            <w:r w:rsidRPr="00C316F8">
              <w:rPr>
                <w:rFonts w:cstheme="minorHAnsi"/>
                <w:color w:val="000000"/>
                <w:sz w:val="24"/>
                <w:szCs w:val="24"/>
              </w:rPr>
              <w:t>0.26</w:t>
            </w:r>
          </w:p>
        </w:tc>
        <w:tc>
          <w:tcPr>
            <w:tcW w:w="1012" w:type="dxa"/>
            <w:vAlign w:val="bottom"/>
          </w:tcPr>
          <w:p w14:paraId="45F5F527" w14:textId="77777777" w:rsidR="008A45D8" w:rsidRPr="00C316F8" w:rsidRDefault="008A45D8" w:rsidP="003B711F">
            <w:pPr>
              <w:jc w:val="both"/>
              <w:rPr>
                <w:rFonts w:cstheme="minorHAnsi"/>
                <w:sz w:val="24"/>
                <w:szCs w:val="24"/>
              </w:rPr>
            </w:pPr>
            <w:r w:rsidRPr="00C316F8">
              <w:rPr>
                <w:rFonts w:cstheme="minorHAnsi"/>
                <w:color w:val="000000"/>
                <w:sz w:val="24"/>
                <w:szCs w:val="24"/>
              </w:rPr>
              <w:t>0.24</w:t>
            </w:r>
          </w:p>
        </w:tc>
      </w:tr>
      <w:tr w:rsidR="008A45D8" w:rsidRPr="00C316F8" w14:paraId="0894932F" w14:textId="77777777" w:rsidTr="001444F0">
        <w:tc>
          <w:tcPr>
            <w:tcW w:w="1737" w:type="dxa"/>
            <w:vMerge/>
          </w:tcPr>
          <w:p w14:paraId="03D54156" w14:textId="77777777" w:rsidR="008A45D8" w:rsidRPr="00C316F8" w:rsidRDefault="008A45D8" w:rsidP="003B711F">
            <w:pPr>
              <w:jc w:val="both"/>
              <w:rPr>
                <w:rFonts w:cstheme="minorHAnsi"/>
                <w:sz w:val="24"/>
                <w:szCs w:val="24"/>
              </w:rPr>
            </w:pPr>
          </w:p>
        </w:tc>
        <w:tc>
          <w:tcPr>
            <w:tcW w:w="1791" w:type="dxa"/>
          </w:tcPr>
          <w:p w14:paraId="27383B10" w14:textId="77777777" w:rsidR="008A45D8" w:rsidRPr="00C316F8" w:rsidRDefault="008A45D8" w:rsidP="003B711F">
            <w:pPr>
              <w:jc w:val="both"/>
              <w:rPr>
                <w:rFonts w:cstheme="minorHAnsi"/>
                <w:sz w:val="24"/>
                <w:szCs w:val="24"/>
              </w:rPr>
            </w:pPr>
            <w:r w:rsidRPr="00C316F8">
              <w:rPr>
                <w:rFonts w:cstheme="minorHAnsi"/>
                <w:sz w:val="24"/>
                <w:szCs w:val="24"/>
              </w:rPr>
              <w:t>Informal employment</w:t>
            </w:r>
          </w:p>
        </w:tc>
        <w:tc>
          <w:tcPr>
            <w:tcW w:w="1560" w:type="dxa"/>
            <w:vAlign w:val="bottom"/>
          </w:tcPr>
          <w:p w14:paraId="333E9ED8" w14:textId="77777777" w:rsidR="008A45D8" w:rsidRPr="00C316F8" w:rsidRDefault="008A45D8" w:rsidP="003B711F">
            <w:pPr>
              <w:jc w:val="both"/>
              <w:rPr>
                <w:rFonts w:cstheme="minorHAnsi"/>
                <w:sz w:val="24"/>
                <w:szCs w:val="24"/>
              </w:rPr>
            </w:pPr>
            <w:r w:rsidRPr="00C316F8">
              <w:rPr>
                <w:rFonts w:cstheme="minorHAnsi"/>
                <w:color w:val="000000"/>
                <w:sz w:val="24"/>
                <w:szCs w:val="24"/>
              </w:rPr>
              <w:t>0.96</w:t>
            </w:r>
          </w:p>
        </w:tc>
        <w:tc>
          <w:tcPr>
            <w:tcW w:w="1373" w:type="dxa"/>
            <w:vAlign w:val="bottom"/>
          </w:tcPr>
          <w:p w14:paraId="046089A2" w14:textId="77777777" w:rsidR="008A45D8" w:rsidRPr="00C316F8" w:rsidRDefault="008A45D8" w:rsidP="003B711F">
            <w:pPr>
              <w:jc w:val="both"/>
              <w:rPr>
                <w:rFonts w:cstheme="minorHAnsi"/>
                <w:sz w:val="24"/>
                <w:szCs w:val="24"/>
              </w:rPr>
            </w:pPr>
            <w:r w:rsidRPr="00C316F8">
              <w:rPr>
                <w:rFonts w:cstheme="minorHAnsi"/>
                <w:color w:val="000000"/>
                <w:sz w:val="24"/>
                <w:szCs w:val="24"/>
              </w:rPr>
              <w:t>0.11</w:t>
            </w:r>
          </w:p>
        </w:tc>
        <w:tc>
          <w:tcPr>
            <w:tcW w:w="1355" w:type="dxa"/>
            <w:vAlign w:val="bottom"/>
          </w:tcPr>
          <w:p w14:paraId="068CB212" w14:textId="77777777" w:rsidR="008A45D8" w:rsidRPr="00C316F8" w:rsidRDefault="008A45D8" w:rsidP="003B711F">
            <w:pPr>
              <w:jc w:val="both"/>
              <w:rPr>
                <w:rFonts w:cstheme="minorHAnsi"/>
                <w:sz w:val="24"/>
                <w:szCs w:val="24"/>
              </w:rPr>
            </w:pPr>
            <w:r w:rsidRPr="00C316F8">
              <w:rPr>
                <w:rFonts w:cstheme="minorHAnsi"/>
                <w:color w:val="000000"/>
                <w:sz w:val="24"/>
                <w:szCs w:val="24"/>
              </w:rPr>
              <w:t>1.81</w:t>
            </w:r>
          </w:p>
        </w:tc>
        <w:tc>
          <w:tcPr>
            <w:tcW w:w="1012" w:type="dxa"/>
            <w:vAlign w:val="bottom"/>
          </w:tcPr>
          <w:p w14:paraId="5E980214" w14:textId="77777777" w:rsidR="008A45D8" w:rsidRPr="00C316F8" w:rsidRDefault="008A45D8" w:rsidP="003B711F">
            <w:pPr>
              <w:jc w:val="both"/>
              <w:rPr>
                <w:rFonts w:cstheme="minorHAnsi"/>
                <w:sz w:val="24"/>
                <w:szCs w:val="24"/>
              </w:rPr>
            </w:pPr>
            <w:r w:rsidRPr="00C316F8">
              <w:rPr>
                <w:rFonts w:cstheme="minorHAnsi"/>
                <w:color w:val="000000"/>
                <w:sz w:val="24"/>
                <w:szCs w:val="24"/>
              </w:rPr>
              <w:t>0.02</w:t>
            </w:r>
          </w:p>
        </w:tc>
      </w:tr>
      <w:tr w:rsidR="008A45D8" w:rsidRPr="00C316F8" w14:paraId="166190C0" w14:textId="77777777" w:rsidTr="001444F0">
        <w:tc>
          <w:tcPr>
            <w:tcW w:w="1737" w:type="dxa"/>
            <w:vMerge w:val="restart"/>
          </w:tcPr>
          <w:p w14:paraId="46DF245A" w14:textId="77777777" w:rsidR="008A45D8" w:rsidRPr="00C316F8" w:rsidRDefault="008A45D8" w:rsidP="003B711F">
            <w:pPr>
              <w:jc w:val="both"/>
              <w:rPr>
                <w:rFonts w:cstheme="minorHAnsi"/>
                <w:sz w:val="24"/>
                <w:szCs w:val="24"/>
              </w:rPr>
            </w:pPr>
            <w:bookmarkStart w:id="56" w:name="_Hlk163746552"/>
            <w:r w:rsidRPr="00C316F8">
              <w:rPr>
                <w:rFonts w:cstheme="minorHAnsi"/>
                <w:sz w:val="24"/>
                <w:szCs w:val="24"/>
              </w:rPr>
              <w:t>Health</w:t>
            </w:r>
          </w:p>
        </w:tc>
        <w:tc>
          <w:tcPr>
            <w:tcW w:w="1791" w:type="dxa"/>
          </w:tcPr>
          <w:p w14:paraId="798265F6" w14:textId="77777777" w:rsidR="008A45D8" w:rsidRPr="00C316F8" w:rsidRDefault="008A45D8" w:rsidP="003B711F">
            <w:pPr>
              <w:jc w:val="both"/>
              <w:rPr>
                <w:rFonts w:cstheme="minorHAnsi"/>
                <w:sz w:val="24"/>
                <w:szCs w:val="24"/>
              </w:rPr>
            </w:pPr>
            <w:r w:rsidRPr="00C316F8">
              <w:rPr>
                <w:rFonts w:cstheme="minorHAnsi"/>
                <w:sz w:val="24"/>
                <w:szCs w:val="24"/>
              </w:rPr>
              <w:t>No Health insurance</w:t>
            </w:r>
          </w:p>
        </w:tc>
        <w:tc>
          <w:tcPr>
            <w:tcW w:w="1560" w:type="dxa"/>
            <w:vAlign w:val="bottom"/>
          </w:tcPr>
          <w:p w14:paraId="1A8E8355" w14:textId="77777777" w:rsidR="008A45D8" w:rsidRPr="00C316F8" w:rsidRDefault="008A45D8" w:rsidP="003B711F">
            <w:pPr>
              <w:jc w:val="both"/>
              <w:rPr>
                <w:rFonts w:cstheme="minorHAnsi"/>
                <w:sz w:val="24"/>
                <w:szCs w:val="24"/>
              </w:rPr>
            </w:pPr>
            <w:r w:rsidRPr="00C316F8">
              <w:rPr>
                <w:rFonts w:cstheme="minorHAnsi"/>
                <w:color w:val="000000"/>
                <w:sz w:val="24"/>
                <w:szCs w:val="24"/>
              </w:rPr>
              <w:t>0.94</w:t>
            </w:r>
          </w:p>
        </w:tc>
        <w:tc>
          <w:tcPr>
            <w:tcW w:w="1373" w:type="dxa"/>
            <w:vAlign w:val="bottom"/>
          </w:tcPr>
          <w:p w14:paraId="68511C2F" w14:textId="77777777" w:rsidR="008A45D8" w:rsidRPr="00C316F8" w:rsidRDefault="008A45D8" w:rsidP="003B711F">
            <w:pPr>
              <w:jc w:val="both"/>
              <w:rPr>
                <w:rFonts w:cstheme="minorHAnsi"/>
                <w:sz w:val="24"/>
                <w:szCs w:val="24"/>
              </w:rPr>
            </w:pPr>
            <w:r w:rsidRPr="00C316F8">
              <w:rPr>
                <w:rFonts w:cstheme="minorHAnsi"/>
                <w:color w:val="000000"/>
                <w:sz w:val="24"/>
                <w:szCs w:val="24"/>
              </w:rPr>
              <w:t>-0.28</w:t>
            </w:r>
          </w:p>
        </w:tc>
        <w:tc>
          <w:tcPr>
            <w:tcW w:w="1355" w:type="dxa"/>
            <w:vAlign w:val="bottom"/>
          </w:tcPr>
          <w:p w14:paraId="0AB31BC8" w14:textId="77777777" w:rsidR="008A45D8" w:rsidRPr="00C316F8" w:rsidRDefault="008A45D8" w:rsidP="003B711F">
            <w:pPr>
              <w:jc w:val="both"/>
              <w:rPr>
                <w:rFonts w:cstheme="minorHAnsi"/>
                <w:sz w:val="24"/>
                <w:szCs w:val="24"/>
              </w:rPr>
            </w:pPr>
            <w:r w:rsidRPr="00C316F8">
              <w:rPr>
                <w:rFonts w:cstheme="minorHAnsi"/>
                <w:color w:val="000000"/>
                <w:sz w:val="24"/>
                <w:szCs w:val="24"/>
              </w:rPr>
              <w:t>2.15</w:t>
            </w:r>
          </w:p>
        </w:tc>
        <w:tc>
          <w:tcPr>
            <w:tcW w:w="1012" w:type="dxa"/>
            <w:vAlign w:val="bottom"/>
          </w:tcPr>
          <w:p w14:paraId="143D7FEE" w14:textId="77777777" w:rsidR="008A45D8" w:rsidRPr="00C316F8" w:rsidRDefault="008A45D8" w:rsidP="003B711F">
            <w:pPr>
              <w:jc w:val="both"/>
              <w:rPr>
                <w:rFonts w:cstheme="minorHAnsi"/>
                <w:sz w:val="24"/>
                <w:szCs w:val="24"/>
              </w:rPr>
            </w:pPr>
            <w:r w:rsidRPr="00C316F8">
              <w:rPr>
                <w:rFonts w:cstheme="minorHAnsi"/>
                <w:color w:val="000000"/>
                <w:sz w:val="24"/>
                <w:szCs w:val="24"/>
              </w:rPr>
              <w:t>0.13</w:t>
            </w:r>
          </w:p>
        </w:tc>
      </w:tr>
      <w:bookmarkEnd w:id="56"/>
      <w:tr w:rsidR="008A45D8" w:rsidRPr="00C316F8" w14:paraId="0CA557DF" w14:textId="77777777" w:rsidTr="001444F0">
        <w:tc>
          <w:tcPr>
            <w:tcW w:w="1737" w:type="dxa"/>
            <w:vMerge/>
          </w:tcPr>
          <w:p w14:paraId="37FACD93" w14:textId="77777777" w:rsidR="008A45D8" w:rsidRPr="00C316F8" w:rsidRDefault="008A45D8" w:rsidP="003B711F">
            <w:pPr>
              <w:jc w:val="both"/>
              <w:rPr>
                <w:rFonts w:cstheme="minorHAnsi"/>
                <w:sz w:val="24"/>
                <w:szCs w:val="24"/>
              </w:rPr>
            </w:pPr>
          </w:p>
        </w:tc>
        <w:tc>
          <w:tcPr>
            <w:tcW w:w="1791" w:type="dxa"/>
          </w:tcPr>
          <w:p w14:paraId="2BAD403E" w14:textId="77777777" w:rsidR="008A45D8" w:rsidRPr="00C316F8" w:rsidRDefault="008A45D8" w:rsidP="003B711F">
            <w:pPr>
              <w:jc w:val="both"/>
              <w:rPr>
                <w:rFonts w:cstheme="minorHAnsi"/>
                <w:sz w:val="24"/>
                <w:szCs w:val="24"/>
              </w:rPr>
            </w:pPr>
            <w:r w:rsidRPr="00C316F8">
              <w:rPr>
                <w:rFonts w:cstheme="minorHAnsi"/>
                <w:sz w:val="24"/>
                <w:szCs w:val="24"/>
              </w:rPr>
              <w:t>Barriers to access to health services</w:t>
            </w:r>
          </w:p>
        </w:tc>
        <w:tc>
          <w:tcPr>
            <w:tcW w:w="1560" w:type="dxa"/>
            <w:vAlign w:val="bottom"/>
          </w:tcPr>
          <w:p w14:paraId="30865B13" w14:textId="77777777" w:rsidR="008A45D8" w:rsidRPr="00C316F8" w:rsidRDefault="008A45D8" w:rsidP="003B711F">
            <w:pPr>
              <w:jc w:val="both"/>
              <w:rPr>
                <w:rFonts w:cstheme="minorHAnsi"/>
                <w:sz w:val="24"/>
                <w:szCs w:val="24"/>
              </w:rPr>
            </w:pPr>
            <w:r w:rsidRPr="00C316F8">
              <w:rPr>
                <w:rFonts w:cstheme="minorHAnsi"/>
                <w:color w:val="000000"/>
                <w:sz w:val="24"/>
                <w:szCs w:val="24"/>
              </w:rPr>
              <w:t>-0.04</w:t>
            </w:r>
          </w:p>
        </w:tc>
        <w:tc>
          <w:tcPr>
            <w:tcW w:w="1373" w:type="dxa"/>
            <w:vAlign w:val="bottom"/>
          </w:tcPr>
          <w:p w14:paraId="2D60A57F" w14:textId="77777777" w:rsidR="008A45D8" w:rsidRPr="00C316F8" w:rsidRDefault="008A45D8" w:rsidP="003B711F">
            <w:pPr>
              <w:jc w:val="both"/>
              <w:rPr>
                <w:rFonts w:cstheme="minorHAnsi"/>
                <w:sz w:val="24"/>
                <w:szCs w:val="24"/>
              </w:rPr>
            </w:pPr>
            <w:r w:rsidRPr="00C316F8">
              <w:rPr>
                <w:rFonts w:cstheme="minorHAnsi"/>
                <w:color w:val="000000"/>
                <w:sz w:val="24"/>
                <w:szCs w:val="24"/>
              </w:rPr>
              <w:t>-0.82</w:t>
            </w:r>
          </w:p>
        </w:tc>
        <w:tc>
          <w:tcPr>
            <w:tcW w:w="1355" w:type="dxa"/>
            <w:vAlign w:val="bottom"/>
          </w:tcPr>
          <w:p w14:paraId="6FB9B873" w14:textId="77777777" w:rsidR="008A45D8" w:rsidRPr="00C316F8" w:rsidRDefault="008A45D8" w:rsidP="003B711F">
            <w:pPr>
              <w:jc w:val="both"/>
              <w:rPr>
                <w:rFonts w:cstheme="minorHAnsi"/>
                <w:sz w:val="24"/>
                <w:szCs w:val="24"/>
              </w:rPr>
            </w:pPr>
            <w:r w:rsidRPr="00C316F8">
              <w:rPr>
                <w:rFonts w:cstheme="minorHAnsi"/>
                <w:color w:val="000000"/>
                <w:sz w:val="24"/>
                <w:szCs w:val="24"/>
              </w:rPr>
              <w:t>0.74</w:t>
            </w:r>
          </w:p>
        </w:tc>
        <w:tc>
          <w:tcPr>
            <w:tcW w:w="1012" w:type="dxa"/>
            <w:vAlign w:val="bottom"/>
          </w:tcPr>
          <w:p w14:paraId="42E60046" w14:textId="77777777" w:rsidR="008A45D8" w:rsidRPr="00C316F8" w:rsidRDefault="008A45D8" w:rsidP="003B711F">
            <w:pPr>
              <w:jc w:val="both"/>
              <w:rPr>
                <w:rFonts w:cstheme="minorHAnsi"/>
                <w:sz w:val="24"/>
                <w:szCs w:val="24"/>
              </w:rPr>
            </w:pPr>
            <w:r w:rsidRPr="00C316F8">
              <w:rPr>
                <w:rFonts w:cstheme="minorHAnsi"/>
                <w:color w:val="000000"/>
                <w:sz w:val="24"/>
                <w:szCs w:val="24"/>
              </w:rPr>
              <w:t>0.92</w:t>
            </w:r>
          </w:p>
        </w:tc>
      </w:tr>
      <w:tr w:rsidR="008A45D8" w:rsidRPr="00C316F8" w14:paraId="716C0873" w14:textId="77777777" w:rsidTr="001444F0">
        <w:tc>
          <w:tcPr>
            <w:tcW w:w="1737" w:type="dxa"/>
            <w:vMerge w:val="restart"/>
          </w:tcPr>
          <w:p w14:paraId="3E28C2B4" w14:textId="77777777" w:rsidR="008A45D8" w:rsidRPr="00C316F8" w:rsidRDefault="008A45D8" w:rsidP="003B711F">
            <w:pPr>
              <w:jc w:val="both"/>
              <w:rPr>
                <w:rFonts w:cstheme="minorHAnsi"/>
                <w:sz w:val="24"/>
                <w:szCs w:val="24"/>
              </w:rPr>
            </w:pPr>
            <w:r w:rsidRPr="00C316F8">
              <w:rPr>
                <w:rFonts w:cstheme="minorHAnsi"/>
                <w:sz w:val="24"/>
                <w:szCs w:val="24"/>
              </w:rPr>
              <w:t>Access to public utilities and housing conditions</w:t>
            </w:r>
          </w:p>
        </w:tc>
        <w:tc>
          <w:tcPr>
            <w:tcW w:w="1791" w:type="dxa"/>
          </w:tcPr>
          <w:p w14:paraId="3CC2522D" w14:textId="77777777" w:rsidR="008A45D8" w:rsidRPr="00C316F8" w:rsidRDefault="008A45D8" w:rsidP="003B711F">
            <w:pPr>
              <w:jc w:val="both"/>
              <w:rPr>
                <w:rFonts w:cstheme="minorHAnsi"/>
                <w:sz w:val="24"/>
                <w:szCs w:val="24"/>
              </w:rPr>
            </w:pPr>
            <w:r w:rsidRPr="00C316F8">
              <w:rPr>
                <w:rFonts w:cstheme="minorHAnsi"/>
                <w:sz w:val="24"/>
                <w:szCs w:val="24"/>
              </w:rPr>
              <w:t>No Access to water source</w:t>
            </w:r>
          </w:p>
        </w:tc>
        <w:tc>
          <w:tcPr>
            <w:tcW w:w="1560" w:type="dxa"/>
            <w:vAlign w:val="bottom"/>
          </w:tcPr>
          <w:p w14:paraId="05D75993" w14:textId="77777777" w:rsidR="008A45D8" w:rsidRPr="00C316F8" w:rsidRDefault="008A45D8" w:rsidP="003B711F">
            <w:pPr>
              <w:jc w:val="both"/>
              <w:rPr>
                <w:rFonts w:cstheme="minorHAnsi"/>
                <w:sz w:val="24"/>
                <w:szCs w:val="24"/>
              </w:rPr>
            </w:pPr>
            <w:r w:rsidRPr="00C316F8">
              <w:rPr>
                <w:rFonts w:cstheme="minorHAnsi"/>
                <w:color w:val="000000"/>
                <w:sz w:val="24"/>
                <w:szCs w:val="24"/>
              </w:rPr>
              <w:t>-0.36</w:t>
            </w:r>
          </w:p>
        </w:tc>
        <w:tc>
          <w:tcPr>
            <w:tcW w:w="1373" w:type="dxa"/>
            <w:vAlign w:val="bottom"/>
          </w:tcPr>
          <w:p w14:paraId="31940BFC" w14:textId="77777777" w:rsidR="008A45D8" w:rsidRPr="00C316F8" w:rsidRDefault="008A45D8" w:rsidP="003B711F">
            <w:pPr>
              <w:jc w:val="both"/>
              <w:rPr>
                <w:rFonts w:cstheme="minorHAnsi"/>
                <w:sz w:val="24"/>
                <w:szCs w:val="24"/>
              </w:rPr>
            </w:pPr>
            <w:r w:rsidRPr="00C316F8">
              <w:rPr>
                <w:rFonts w:cstheme="minorHAnsi"/>
                <w:color w:val="000000"/>
                <w:sz w:val="24"/>
                <w:szCs w:val="24"/>
              </w:rPr>
              <w:t>-0.63</w:t>
            </w:r>
          </w:p>
        </w:tc>
        <w:tc>
          <w:tcPr>
            <w:tcW w:w="1355" w:type="dxa"/>
            <w:vAlign w:val="bottom"/>
          </w:tcPr>
          <w:p w14:paraId="179C8323" w14:textId="77777777" w:rsidR="008A45D8" w:rsidRPr="00C316F8" w:rsidRDefault="008A45D8" w:rsidP="003B711F">
            <w:pPr>
              <w:jc w:val="both"/>
              <w:rPr>
                <w:rFonts w:cstheme="minorHAnsi"/>
                <w:sz w:val="24"/>
                <w:szCs w:val="24"/>
              </w:rPr>
            </w:pPr>
            <w:r w:rsidRPr="00C316F8">
              <w:rPr>
                <w:rFonts w:cstheme="minorHAnsi"/>
                <w:color w:val="000000"/>
                <w:sz w:val="24"/>
                <w:szCs w:val="24"/>
              </w:rPr>
              <w:t>-0.10</w:t>
            </w:r>
          </w:p>
        </w:tc>
        <w:tc>
          <w:tcPr>
            <w:tcW w:w="1012" w:type="dxa"/>
            <w:vAlign w:val="bottom"/>
          </w:tcPr>
          <w:p w14:paraId="6A5F9F38" w14:textId="77777777" w:rsidR="008A45D8" w:rsidRPr="00C316F8" w:rsidRDefault="008A45D8" w:rsidP="003B711F">
            <w:pPr>
              <w:jc w:val="both"/>
              <w:rPr>
                <w:rFonts w:cstheme="minorHAnsi"/>
                <w:sz w:val="24"/>
                <w:szCs w:val="24"/>
              </w:rPr>
            </w:pPr>
            <w:r w:rsidRPr="00C316F8">
              <w:rPr>
                <w:rFonts w:cstheme="minorHAnsi"/>
                <w:color w:val="000000"/>
                <w:sz w:val="24"/>
                <w:szCs w:val="24"/>
              </w:rPr>
              <w:t>0.007</w:t>
            </w:r>
          </w:p>
        </w:tc>
      </w:tr>
      <w:tr w:rsidR="008A45D8" w:rsidRPr="00C316F8" w14:paraId="54008FB5" w14:textId="77777777" w:rsidTr="001444F0">
        <w:tc>
          <w:tcPr>
            <w:tcW w:w="1737" w:type="dxa"/>
            <w:vMerge/>
          </w:tcPr>
          <w:p w14:paraId="588D0D33" w14:textId="77777777" w:rsidR="008A45D8" w:rsidRPr="00C316F8" w:rsidRDefault="008A45D8" w:rsidP="003B711F">
            <w:pPr>
              <w:jc w:val="both"/>
              <w:rPr>
                <w:rFonts w:cstheme="minorHAnsi"/>
                <w:sz w:val="24"/>
                <w:szCs w:val="24"/>
              </w:rPr>
            </w:pPr>
          </w:p>
        </w:tc>
        <w:tc>
          <w:tcPr>
            <w:tcW w:w="1791" w:type="dxa"/>
          </w:tcPr>
          <w:p w14:paraId="36404D3F" w14:textId="77777777" w:rsidR="008A45D8" w:rsidRPr="00C316F8" w:rsidRDefault="008A45D8" w:rsidP="003B711F">
            <w:pPr>
              <w:jc w:val="both"/>
              <w:rPr>
                <w:rFonts w:cstheme="minorHAnsi"/>
                <w:sz w:val="24"/>
                <w:szCs w:val="24"/>
              </w:rPr>
            </w:pPr>
            <w:r w:rsidRPr="00C316F8">
              <w:rPr>
                <w:rFonts w:cstheme="minorHAnsi"/>
                <w:sz w:val="24"/>
                <w:szCs w:val="24"/>
              </w:rPr>
              <w:t>Inadequate excreta disposal</w:t>
            </w:r>
          </w:p>
        </w:tc>
        <w:tc>
          <w:tcPr>
            <w:tcW w:w="1560" w:type="dxa"/>
            <w:vAlign w:val="bottom"/>
          </w:tcPr>
          <w:p w14:paraId="5BE03D0E" w14:textId="77777777" w:rsidR="008A45D8" w:rsidRPr="00C316F8" w:rsidRDefault="008A45D8" w:rsidP="003B711F">
            <w:pPr>
              <w:jc w:val="both"/>
              <w:rPr>
                <w:rFonts w:cstheme="minorHAnsi"/>
                <w:sz w:val="24"/>
                <w:szCs w:val="24"/>
              </w:rPr>
            </w:pPr>
            <w:r w:rsidRPr="00C316F8">
              <w:rPr>
                <w:rFonts w:cstheme="minorHAnsi"/>
                <w:color w:val="000000"/>
                <w:sz w:val="24"/>
                <w:szCs w:val="24"/>
              </w:rPr>
              <w:t>-0.43</w:t>
            </w:r>
          </w:p>
        </w:tc>
        <w:tc>
          <w:tcPr>
            <w:tcW w:w="1373" w:type="dxa"/>
            <w:vAlign w:val="bottom"/>
          </w:tcPr>
          <w:p w14:paraId="449333C1" w14:textId="77777777" w:rsidR="008A45D8" w:rsidRPr="00C316F8" w:rsidRDefault="008A45D8" w:rsidP="003B711F">
            <w:pPr>
              <w:jc w:val="both"/>
              <w:rPr>
                <w:rFonts w:cstheme="minorHAnsi"/>
                <w:sz w:val="24"/>
                <w:szCs w:val="24"/>
              </w:rPr>
            </w:pPr>
            <w:r w:rsidRPr="00C316F8">
              <w:rPr>
                <w:rFonts w:cstheme="minorHAnsi"/>
                <w:color w:val="000000"/>
                <w:sz w:val="24"/>
                <w:szCs w:val="24"/>
              </w:rPr>
              <w:t>-0.70</w:t>
            </w:r>
          </w:p>
        </w:tc>
        <w:tc>
          <w:tcPr>
            <w:tcW w:w="1355" w:type="dxa"/>
            <w:vAlign w:val="bottom"/>
          </w:tcPr>
          <w:p w14:paraId="5E353BA4" w14:textId="77777777" w:rsidR="008A45D8" w:rsidRPr="00C316F8" w:rsidRDefault="008A45D8" w:rsidP="003B711F">
            <w:pPr>
              <w:jc w:val="both"/>
              <w:rPr>
                <w:rFonts w:cstheme="minorHAnsi"/>
                <w:sz w:val="24"/>
                <w:szCs w:val="24"/>
              </w:rPr>
            </w:pPr>
            <w:r w:rsidRPr="00C316F8">
              <w:rPr>
                <w:rFonts w:cstheme="minorHAnsi"/>
                <w:color w:val="000000"/>
                <w:sz w:val="24"/>
                <w:szCs w:val="24"/>
              </w:rPr>
              <w:t>-0.15</w:t>
            </w:r>
          </w:p>
        </w:tc>
        <w:tc>
          <w:tcPr>
            <w:tcW w:w="1012" w:type="dxa"/>
            <w:vAlign w:val="bottom"/>
          </w:tcPr>
          <w:p w14:paraId="3B3DFC30" w14:textId="77777777" w:rsidR="008A45D8" w:rsidRPr="00C316F8" w:rsidRDefault="008A45D8" w:rsidP="003B711F">
            <w:pPr>
              <w:jc w:val="both"/>
              <w:rPr>
                <w:rFonts w:cstheme="minorHAnsi"/>
                <w:sz w:val="24"/>
                <w:szCs w:val="24"/>
              </w:rPr>
            </w:pPr>
            <w:r w:rsidRPr="00C316F8">
              <w:rPr>
                <w:rFonts w:cstheme="minorHAnsi"/>
                <w:color w:val="000000"/>
                <w:sz w:val="24"/>
                <w:szCs w:val="24"/>
              </w:rPr>
              <w:t>0.002</w:t>
            </w:r>
          </w:p>
        </w:tc>
      </w:tr>
      <w:tr w:rsidR="008A45D8" w:rsidRPr="00C316F8" w14:paraId="55489633" w14:textId="77777777" w:rsidTr="001444F0">
        <w:tc>
          <w:tcPr>
            <w:tcW w:w="1737" w:type="dxa"/>
            <w:vMerge/>
          </w:tcPr>
          <w:p w14:paraId="3495FD87" w14:textId="77777777" w:rsidR="008A45D8" w:rsidRPr="00C316F8" w:rsidRDefault="008A45D8" w:rsidP="003B711F">
            <w:pPr>
              <w:jc w:val="both"/>
              <w:rPr>
                <w:rFonts w:cstheme="minorHAnsi"/>
                <w:sz w:val="24"/>
                <w:szCs w:val="24"/>
              </w:rPr>
            </w:pPr>
          </w:p>
        </w:tc>
        <w:tc>
          <w:tcPr>
            <w:tcW w:w="1791" w:type="dxa"/>
          </w:tcPr>
          <w:p w14:paraId="792BF7A9" w14:textId="77777777" w:rsidR="008A45D8" w:rsidRPr="00C316F8" w:rsidRDefault="008A45D8" w:rsidP="003B711F">
            <w:pPr>
              <w:jc w:val="both"/>
              <w:rPr>
                <w:rFonts w:cstheme="minorHAnsi"/>
                <w:sz w:val="24"/>
                <w:szCs w:val="24"/>
              </w:rPr>
            </w:pPr>
            <w:r w:rsidRPr="00C316F8">
              <w:rPr>
                <w:rFonts w:cstheme="minorHAnsi"/>
                <w:sz w:val="24"/>
                <w:szCs w:val="24"/>
              </w:rPr>
              <w:t>Inadequate floor material</w:t>
            </w:r>
          </w:p>
        </w:tc>
        <w:tc>
          <w:tcPr>
            <w:tcW w:w="1560" w:type="dxa"/>
            <w:vAlign w:val="bottom"/>
          </w:tcPr>
          <w:p w14:paraId="26C90382" w14:textId="77777777" w:rsidR="008A45D8" w:rsidRPr="00C316F8" w:rsidRDefault="008A45D8" w:rsidP="003B711F">
            <w:pPr>
              <w:jc w:val="both"/>
              <w:rPr>
                <w:rFonts w:cstheme="minorHAnsi"/>
                <w:sz w:val="24"/>
                <w:szCs w:val="24"/>
              </w:rPr>
            </w:pPr>
            <w:r w:rsidRPr="00C316F8">
              <w:rPr>
                <w:rFonts w:cstheme="minorHAnsi"/>
                <w:color w:val="000000"/>
                <w:sz w:val="24"/>
                <w:szCs w:val="24"/>
              </w:rPr>
              <w:t>-0.21</w:t>
            </w:r>
          </w:p>
        </w:tc>
        <w:tc>
          <w:tcPr>
            <w:tcW w:w="1373" w:type="dxa"/>
            <w:vAlign w:val="bottom"/>
          </w:tcPr>
          <w:p w14:paraId="08986879" w14:textId="77777777" w:rsidR="008A45D8" w:rsidRPr="00C316F8" w:rsidRDefault="008A45D8" w:rsidP="003B711F">
            <w:pPr>
              <w:jc w:val="both"/>
              <w:rPr>
                <w:rFonts w:cstheme="minorHAnsi"/>
                <w:sz w:val="24"/>
                <w:szCs w:val="24"/>
              </w:rPr>
            </w:pPr>
            <w:r w:rsidRPr="00C316F8">
              <w:rPr>
                <w:rFonts w:cstheme="minorHAnsi"/>
                <w:color w:val="000000"/>
                <w:sz w:val="24"/>
                <w:szCs w:val="24"/>
              </w:rPr>
              <w:t>-0.53</w:t>
            </w:r>
          </w:p>
        </w:tc>
        <w:tc>
          <w:tcPr>
            <w:tcW w:w="1355" w:type="dxa"/>
            <w:vAlign w:val="bottom"/>
          </w:tcPr>
          <w:p w14:paraId="59ECA00E" w14:textId="77777777" w:rsidR="008A45D8" w:rsidRPr="00C316F8" w:rsidRDefault="008A45D8" w:rsidP="003B711F">
            <w:pPr>
              <w:jc w:val="both"/>
              <w:rPr>
                <w:rFonts w:cstheme="minorHAnsi"/>
                <w:sz w:val="24"/>
                <w:szCs w:val="24"/>
              </w:rPr>
            </w:pPr>
            <w:r w:rsidRPr="00C316F8">
              <w:rPr>
                <w:rFonts w:cstheme="minorHAnsi"/>
                <w:color w:val="000000"/>
                <w:sz w:val="24"/>
                <w:szCs w:val="24"/>
              </w:rPr>
              <w:t>0.10</w:t>
            </w:r>
          </w:p>
        </w:tc>
        <w:tc>
          <w:tcPr>
            <w:tcW w:w="1012" w:type="dxa"/>
            <w:vAlign w:val="bottom"/>
          </w:tcPr>
          <w:p w14:paraId="65C51878" w14:textId="77777777" w:rsidR="008A45D8" w:rsidRPr="00C316F8" w:rsidRDefault="008A45D8" w:rsidP="003B711F">
            <w:pPr>
              <w:jc w:val="both"/>
              <w:rPr>
                <w:rFonts w:cstheme="minorHAnsi"/>
                <w:sz w:val="24"/>
                <w:szCs w:val="24"/>
              </w:rPr>
            </w:pPr>
            <w:r w:rsidRPr="00C316F8">
              <w:rPr>
                <w:rFonts w:cstheme="minorHAnsi"/>
                <w:color w:val="000000"/>
                <w:sz w:val="24"/>
                <w:szCs w:val="24"/>
              </w:rPr>
              <w:t>0.18</w:t>
            </w:r>
          </w:p>
        </w:tc>
      </w:tr>
      <w:tr w:rsidR="008A45D8" w:rsidRPr="00C316F8" w14:paraId="7AC5CA9B" w14:textId="77777777" w:rsidTr="001444F0">
        <w:tc>
          <w:tcPr>
            <w:tcW w:w="1737" w:type="dxa"/>
            <w:vMerge/>
          </w:tcPr>
          <w:p w14:paraId="5CB6FDDD" w14:textId="77777777" w:rsidR="008A45D8" w:rsidRPr="00C316F8" w:rsidRDefault="008A45D8" w:rsidP="003B711F">
            <w:pPr>
              <w:jc w:val="both"/>
              <w:rPr>
                <w:rFonts w:cstheme="minorHAnsi"/>
                <w:sz w:val="24"/>
                <w:szCs w:val="24"/>
              </w:rPr>
            </w:pPr>
          </w:p>
        </w:tc>
        <w:tc>
          <w:tcPr>
            <w:tcW w:w="1791" w:type="dxa"/>
          </w:tcPr>
          <w:p w14:paraId="7335F13B" w14:textId="77777777" w:rsidR="008A45D8" w:rsidRPr="00C316F8" w:rsidRDefault="008A45D8" w:rsidP="003B711F">
            <w:pPr>
              <w:jc w:val="both"/>
              <w:rPr>
                <w:rFonts w:cstheme="minorHAnsi"/>
                <w:sz w:val="24"/>
                <w:szCs w:val="24"/>
              </w:rPr>
            </w:pPr>
            <w:r w:rsidRPr="00C316F8">
              <w:rPr>
                <w:rFonts w:cstheme="minorHAnsi"/>
                <w:sz w:val="24"/>
                <w:szCs w:val="24"/>
              </w:rPr>
              <w:t>Inadequate wall material</w:t>
            </w:r>
          </w:p>
        </w:tc>
        <w:tc>
          <w:tcPr>
            <w:tcW w:w="1560" w:type="dxa"/>
            <w:vAlign w:val="bottom"/>
          </w:tcPr>
          <w:p w14:paraId="77745E7D" w14:textId="77777777" w:rsidR="008A45D8" w:rsidRPr="00C316F8" w:rsidRDefault="008A45D8" w:rsidP="003B711F">
            <w:pPr>
              <w:jc w:val="both"/>
              <w:rPr>
                <w:rFonts w:cstheme="minorHAnsi"/>
                <w:sz w:val="24"/>
                <w:szCs w:val="24"/>
              </w:rPr>
            </w:pPr>
            <w:r w:rsidRPr="00C316F8">
              <w:rPr>
                <w:rFonts w:cstheme="minorHAnsi"/>
                <w:color w:val="000000"/>
                <w:sz w:val="24"/>
                <w:szCs w:val="24"/>
              </w:rPr>
              <w:t>-0.22</w:t>
            </w:r>
          </w:p>
        </w:tc>
        <w:tc>
          <w:tcPr>
            <w:tcW w:w="1373" w:type="dxa"/>
            <w:vAlign w:val="bottom"/>
          </w:tcPr>
          <w:p w14:paraId="4659DD91" w14:textId="77777777" w:rsidR="008A45D8" w:rsidRPr="00C316F8" w:rsidRDefault="008A45D8" w:rsidP="003B711F">
            <w:pPr>
              <w:jc w:val="both"/>
              <w:rPr>
                <w:rFonts w:cstheme="minorHAnsi"/>
                <w:sz w:val="24"/>
                <w:szCs w:val="24"/>
              </w:rPr>
            </w:pPr>
            <w:r w:rsidRPr="00C316F8">
              <w:rPr>
                <w:rFonts w:cstheme="minorHAnsi"/>
                <w:color w:val="000000"/>
                <w:sz w:val="24"/>
                <w:szCs w:val="24"/>
              </w:rPr>
              <w:t>-0.76</w:t>
            </w:r>
          </w:p>
        </w:tc>
        <w:tc>
          <w:tcPr>
            <w:tcW w:w="1355" w:type="dxa"/>
            <w:vAlign w:val="bottom"/>
          </w:tcPr>
          <w:p w14:paraId="0095DCC5" w14:textId="77777777" w:rsidR="008A45D8" w:rsidRPr="00C316F8" w:rsidRDefault="008A45D8" w:rsidP="003B711F">
            <w:pPr>
              <w:jc w:val="both"/>
              <w:rPr>
                <w:rFonts w:cstheme="minorHAnsi"/>
                <w:sz w:val="24"/>
                <w:szCs w:val="24"/>
              </w:rPr>
            </w:pPr>
            <w:r w:rsidRPr="00C316F8">
              <w:rPr>
                <w:rFonts w:cstheme="minorHAnsi"/>
                <w:color w:val="000000"/>
                <w:sz w:val="24"/>
                <w:szCs w:val="24"/>
              </w:rPr>
              <w:t>0.32</w:t>
            </w:r>
          </w:p>
        </w:tc>
        <w:tc>
          <w:tcPr>
            <w:tcW w:w="1012" w:type="dxa"/>
            <w:vAlign w:val="bottom"/>
          </w:tcPr>
          <w:p w14:paraId="104323EC" w14:textId="77777777" w:rsidR="008A45D8" w:rsidRPr="00C316F8" w:rsidRDefault="008A45D8" w:rsidP="003B711F">
            <w:pPr>
              <w:jc w:val="both"/>
              <w:rPr>
                <w:rFonts w:cstheme="minorHAnsi"/>
                <w:sz w:val="24"/>
                <w:szCs w:val="24"/>
              </w:rPr>
            </w:pPr>
            <w:r w:rsidRPr="00C316F8">
              <w:rPr>
                <w:rFonts w:cstheme="minorHAnsi"/>
                <w:color w:val="000000"/>
                <w:sz w:val="24"/>
                <w:szCs w:val="24"/>
              </w:rPr>
              <w:t>0.42</w:t>
            </w:r>
          </w:p>
        </w:tc>
      </w:tr>
      <w:tr w:rsidR="008A45D8" w:rsidRPr="00C316F8" w14:paraId="090C3A8A" w14:textId="77777777" w:rsidTr="001444F0">
        <w:tc>
          <w:tcPr>
            <w:tcW w:w="1737" w:type="dxa"/>
            <w:vMerge/>
          </w:tcPr>
          <w:p w14:paraId="10FA98A8" w14:textId="77777777" w:rsidR="008A45D8" w:rsidRPr="00C316F8" w:rsidRDefault="008A45D8" w:rsidP="003B711F">
            <w:pPr>
              <w:jc w:val="both"/>
              <w:rPr>
                <w:rFonts w:cstheme="minorHAnsi"/>
                <w:sz w:val="24"/>
                <w:szCs w:val="24"/>
              </w:rPr>
            </w:pPr>
          </w:p>
        </w:tc>
        <w:tc>
          <w:tcPr>
            <w:tcW w:w="1791" w:type="dxa"/>
          </w:tcPr>
          <w:p w14:paraId="78BF15F5" w14:textId="77777777" w:rsidR="008A45D8" w:rsidRPr="00C316F8" w:rsidRDefault="008A45D8" w:rsidP="003B711F">
            <w:pPr>
              <w:jc w:val="both"/>
              <w:rPr>
                <w:rFonts w:cstheme="minorHAnsi"/>
                <w:sz w:val="24"/>
                <w:szCs w:val="24"/>
              </w:rPr>
            </w:pPr>
            <w:r w:rsidRPr="00C316F8">
              <w:rPr>
                <w:rFonts w:cstheme="minorHAnsi"/>
                <w:sz w:val="24"/>
                <w:szCs w:val="24"/>
              </w:rPr>
              <w:t>Critical overcrowding</w:t>
            </w:r>
          </w:p>
        </w:tc>
        <w:tc>
          <w:tcPr>
            <w:tcW w:w="1560" w:type="dxa"/>
            <w:vAlign w:val="bottom"/>
          </w:tcPr>
          <w:p w14:paraId="55BA494B" w14:textId="77777777" w:rsidR="008A45D8" w:rsidRPr="00C316F8" w:rsidRDefault="008A45D8" w:rsidP="003B711F">
            <w:pPr>
              <w:jc w:val="both"/>
              <w:rPr>
                <w:rFonts w:cstheme="minorHAnsi"/>
                <w:sz w:val="24"/>
                <w:szCs w:val="24"/>
              </w:rPr>
            </w:pPr>
            <w:r w:rsidRPr="00C316F8">
              <w:rPr>
                <w:rFonts w:cstheme="minorHAnsi"/>
                <w:color w:val="000000"/>
                <w:sz w:val="24"/>
                <w:szCs w:val="24"/>
              </w:rPr>
              <w:t>1.47</w:t>
            </w:r>
          </w:p>
        </w:tc>
        <w:tc>
          <w:tcPr>
            <w:tcW w:w="1373" w:type="dxa"/>
            <w:vAlign w:val="bottom"/>
          </w:tcPr>
          <w:p w14:paraId="669AB4A9" w14:textId="77777777" w:rsidR="008A45D8" w:rsidRPr="00C316F8" w:rsidRDefault="008A45D8" w:rsidP="003B711F">
            <w:pPr>
              <w:jc w:val="both"/>
              <w:rPr>
                <w:rFonts w:cstheme="minorHAnsi"/>
                <w:sz w:val="24"/>
                <w:szCs w:val="24"/>
              </w:rPr>
            </w:pPr>
            <w:r w:rsidRPr="00C316F8">
              <w:rPr>
                <w:rFonts w:cstheme="minorHAnsi"/>
                <w:color w:val="000000"/>
                <w:sz w:val="24"/>
                <w:szCs w:val="24"/>
              </w:rPr>
              <w:t>0.61</w:t>
            </w:r>
          </w:p>
        </w:tc>
        <w:tc>
          <w:tcPr>
            <w:tcW w:w="1355" w:type="dxa"/>
            <w:vAlign w:val="bottom"/>
          </w:tcPr>
          <w:p w14:paraId="58119F3E" w14:textId="77777777" w:rsidR="008A45D8" w:rsidRPr="00C316F8" w:rsidRDefault="008A45D8" w:rsidP="003B711F">
            <w:pPr>
              <w:jc w:val="both"/>
              <w:rPr>
                <w:rFonts w:cstheme="minorHAnsi"/>
                <w:sz w:val="24"/>
                <w:szCs w:val="24"/>
              </w:rPr>
            </w:pPr>
            <w:r w:rsidRPr="00C316F8">
              <w:rPr>
                <w:rFonts w:cstheme="minorHAnsi"/>
                <w:color w:val="000000"/>
                <w:sz w:val="24"/>
                <w:szCs w:val="24"/>
              </w:rPr>
              <w:t>2.34</w:t>
            </w:r>
          </w:p>
        </w:tc>
        <w:tc>
          <w:tcPr>
            <w:tcW w:w="1012" w:type="dxa"/>
            <w:vAlign w:val="bottom"/>
          </w:tcPr>
          <w:p w14:paraId="37170449" w14:textId="77777777" w:rsidR="008A45D8" w:rsidRPr="00C316F8" w:rsidRDefault="008A45D8" w:rsidP="003B711F">
            <w:pPr>
              <w:jc w:val="both"/>
              <w:rPr>
                <w:rFonts w:cstheme="minorHAnsi"/>
                <w:sz w:val="24"/>
                <w:szCs w:val="24"/>
              </w:rPr>
            </w:pPr>
            <w:r w:rsidRPr="00C316F8">
              <w:rPr>
                <w:rFonts w:cstheme="minorHAnsi"/>
                <w:color w:val="000000"/>
                <w:sz w:val="24"/>
                <w:szCs w:val="24"/>
              </w:rPr>
              <w:t>0.0009</w:t>
            </w:r>
          </w:p>
        </w:tc>
      </w:tr>
    </w:tbl>
    <w:p w14:paraId="0818C9AC" w14:textId="77777777" w:rsidR="004A2F6D" w:rsidRPr="00C316F8" w:rsidRDefault="004A2F6D" w:rsidP="004A2F6D">
      <w:pPr>
        <w:jc w:val="both"/>
        <w:rPr>
          <w:rFonts w:eastAsia="Calibri" w:cstheme="minorHAnsi"/>
          <w:sz w:val="24"/>
          <w:szCs w:val="24"/>
          <w:lang w:val="es-CO"/>
        </w:rPr>
      </w:pPr>
      <w:r w:rsidRPr="00C316F8">
        <w:rPr>
          <w:rFonts w:eastAsia="Calibri" w:cstheme="minorHAnsi"/>
          <w:sz w:val="24"/>
          <w:szCs w:val="24"/>
          <w:lang w:val="es-CO"/>
        </w:rPr>
        <w:t>Fuente, elaboración propia.</w:t>
      </w:r>
    </w:p>
    <w:p w14:paraId="18020CF3" w14:textId="424D1AA9" w:rsidR="00C04A8D" w:rsidRPr="00C316F8" w:rsidRDefault="00C04A8D" w:rsidP="003B711F">
      <w:pPr>
        <w:jc w:val="both"/>
        <w:rPr>
          <w:rFonts w:cstheme="minorHAnsi"/>
          <w:sz w:val="24"/>
          <w:szCs w:val="24"/>
        </w:rPr>
      </w:pPr>
    </w:p>
    <w:p w14:paraId="21B77808" w14:textId="77777777" w:rsidR="00C04A8D" w:rsidRPr="00C316F8" w:rsidRDefault="00C04A8D" w:rsidP="003B711F">
      <w:pPr>
        <w:jc w:val="both"/>
        <w:rPr>
          <w:rFonts w:cstheme="minorHAnsi"/>
          <w:sz w:val="24"/>
          <w:szCs w:val="24"/>
        </w:rPr>
      </w:pPr>
    </w:p>
    <w:p w14:paraId="043D8A2F" w14:textId="64223D4C" w:rsidR="00CD6E49" w:rsidRPr="00C316F8" w:rsidRDefault="00CD6E49" w:rsidP="003B711F">
      <w:pPr>
        <w:jc w:val="both"/>
        <w:rPr>
          <w:rFonts w:cstheme="minorHAnsi"/>
          <w:sz w:val="24"/>
          <w:szCs w:val="24"/>
          <w:lang w:val="es-CO"/>
        </w:rPr>
      </w:pPr>
      <w:r w:rsidRPr="00C316F8">
        <w:rPr>
          <w:rFonts w:cstheme="minorHAnsi"/>
          <w:sz w:val="24"/>
          <w:szCs w:val="24"/>
          <w:lang w:val="es-CO"/>
        </w:rPr>
        <w:t xml:space="preserve">Para el año 2022, las variables significativas fueron el rezago escolar (p=0.0450, IC95%: -0.673933 a -0.007544) y la disposición inadecuada de excretas (p=0.0253, IC95%: -0.012346 a 0.0253). Los resultados del modelo se presentan en la Tabla </w:t>
      </w:r>
      <w:r w:rsidR="004A2F6D" w:rsidRPr="00C316F8">
        <w:rPr>
          <w:rFonts w:cstheme="minorHAnsi"/>
          <w:sz w:val="24"/>
          <w:szCs w:val="24"/>
          <w:lang w:val="es-CO"/>
        </w:rPr>
        <w:t>9</w:t>
      </w:r>
      <w:r w:rsidRPr="00C316F8">
        <w:rPr>
          <w:rFonts w:cstheme="minorHAnsi"/>
          <w:sz w:val="24"/>
          <w:szCs w:val="24"/>
          <w:lang w:val="es-CO"/>
        </w:rPr>
        <w:t>.</w:t>
      </w:r>
    </w:p>
    <w:p w14:paraId="36F35C49" w14:textId="77777777" w:rsidR="004A2F6D" w:rsidRPr="00C316F8" w:rsidRDefault="004A2F6D" w:rsidP="003B711F">
      <w:pPr>
        <w:jc w:val="both"/>
        <w:rPr>
          <w:rFonts w:cstheme="minorHAnsi"/>
          <w:sz w:val="24"/>
          <w:szCs w:val="24"/>
          <w:lang w:val="es-CO"/>
        </w:rPr>
      </w:pPr>
    </w:p>
    <w:p w14:paraId="25059F2E" w14:textId="0904CF64" w:rsidR="00156C70" w:rsidRPr="00C316F8" w:rsidRDefault="00156C70" w:rsidP="00156C70">
      <w:pPr>
        <w:pStyle w:val="Descripcin"/>
        <w:rPr>
          <w:rFonts w:asciiTheme="minorHAnsi" w:hAnsiTheme="minorHAnsi" w:cstheme="minorHAnsi"/>
          <w:b/>
          <w:bCs/>
          <w:i w:val="0"/>
          <w:iCs w:val="0"/>
          <w:color w:val="auto"/>
          <w:sz w:val="24"/>
          <w:szCs w:val="24"/>
        </w:rPr>
      </w:pPr>
      <w:bookmarkStart w:id="57" w:name="_Toc229834697"/>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9</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Resultados del modelo autorregresivo espacial simultáneo (SAC) – Colombia, 2022</w:t>
      </w:r>
      <w:bookmarkEnd w:id="57"/>
    </w:p>
    <w:tbl>
      <w:tblPr>
        <w:tblStyle w:val="Tablaconcuadrcula"/>
        <w:tblW w:w="0" w:type="auto"/>
        <w:tblLook w:val="04A0" w:firstRow="1" w:lastRow="0" w:firstColumn="1" w:lastColumn="0" w:noHBand="0" w:noVBand="1"/>
      </w:tblPr>
      <w:tblGrid>
        <w:gridCol w:w="2039"/>
        <w:gridCol w:w="2130"/>
        <w:gridCol w:w="1479"/>
        <w:gridCol w:w="1342"/>
        <w:gridCol w:w="827"/>
        <w:gridCol w:w="1011"/>
      </w:tblGrid>
      <w:tr w:rsidR="0088481D" w:rsidRPr="00C316F8" w14:paraId="313B7598" w14:textId="77777777" w:rsidTr="001444F0">
        <w:trPr>
          <w:trHeight w:val="562"/>
        </w:trPr>
        <w:tc>
          <w:tcPr>
            <w:tcW w:w="0" w:type="auto"/>
          </w:tcPr>
          <w:p w14:paraId="609DE65D" w14:textId="77777777" w:rsidR="0088481D" w:rsidRPr="00C316F8" w:rsidRDefault="0088481D" w:rsidP="003B711F">
            <w:pPr>
              <w:jc w:val="both"/>
              <w:rPr>
                <w:rFonts w:cstheme="minorHAnsi"/>
                <w:sz w:val="24"/>
                <w:szCs w:val="24"/>
              </w:rPr>
            </w:pPr>
            <w:r w:rsidRPr="00C316F8">
              <w:rPr>
                <w:rFonts w:cstheme="minorHAnsi"/>
                <w:sz w:val="24"/>
                <w:szCs w:val="24"/>
              </w:rPr>
              <w:t>DIMENSIONS</w:t>
            </w:r>
          </w:p>
        </w:tc>
        <w:tc>
          <w:tcPr>
            <w:tcW w:w="0" w:type="auto"/>
          </w:tcPr>
          <w:p w14:paraId="249B5EAB" w14:textId="77777777" w:rsidR="0088481D" w:rsidRPr="00C316F8" w:rsidRDefault="0088481D" w:rsidP="003B711F">
            <w:pPr>
              <w:jc w:val="both"/>
              <w:rPr>
                <w:rFonts w:cstheme="minorHAnsi"/>
                <w:sz w:val="24"/>
                <w:szCs w:val="24"/>
              </w:rPr>
            </w:pPr>
            <w:r w:rsidRPr="00C316F8">
              <w:rPr>
                <w:rFonts w:cstheme="minorHAnsi"/>
                <w:sz w:val="24"/>
                <w:szCs w:val="24"/>
              </w:rPr>
              <w:t>VARIABLE</w:t>
            </w:r>
          </w:p>
          <w:p w14:paraId="778B9AA3" w14:textId="77777777" w:rsidR="0088481D" w:rsidRPr="00C316F8" w:rsidRDefault="0088481D" w:rsidP="003B711F">
            <w:pPr>
              <w:jc w:val="both"/>
              <w:rPr>
                <w:rFonts w:cstheme="minorHAnsi"/>
                <w:sz w:val="24"/>
                <w:szCs w:val="24"/>
              </w:rPr>
            </w:pPr>
          </w:p>
        </w:tc>
        <w:tc>
          <w:tcPr>
            <w:tcW w:w="0" w:type="auto"/>
          </w:tcPr>
          <w:p w14:paraId="41B85B39" w14:textId="77777777" w:rsidR="0088481D" w:rsidRPr="00C316F8" w:rsidRDefault="0088481D" w:rsidP="003B711F">
            <w:pPr>
              <w:jc w:val="both"/>
              <w:rPr>
                <w:rFonts w:cstheme="minorHAnsi"/>
                <w:color w:val="0D0D0D"/>
                <w:sz w:val="24"/>
                <w:szCs w:val="24"/>
              </w:rPr>
            </w:pPr>
            <w:r w:rsidRPr="00C316F8">
              <w:rPr>
                <w:rFonts w:cstheme="minorHAnsi"/>
                <w:color w:val="0D0D0D"/>
                <w:sz w:val="24"/>
                <w:szCs w:val="24"/>
              </w:rPr>
              <w:t>COEFFICIENT</w:t>
            </w:r>
          </w:p>
          <w:p w14:paraId="589064DC" w14:textId="77777777" w:rsidR="0088481D" w:rsidRPr="00C316F8" w:rsidRDefault="0088481D" w:rsidP="003B711F">
            <w:pPr>
              <w:jc w:val="both"/>
              <w:rPr>
                <w:rFonts w:cstheme="minorHAnsi"/>
                <w:sz w:val="24"/>
                <w:szCs w:val="24"/>
              </w:rPr>
            </w:pPr>
          </w:p>
        </w:tc>
        <w:tc>
          <w:tcPr>
            <w:tcW w:w="0" w:type="auto"/>
            <w:gridSpan w:val="2"/>
            <w:tcBorders>
              <w:bottom w:val="single" w:sz="4" w:space="0" w:color="auto"/>
            </w:tcBorders>
          </w:tcPr>
          <w:p w14:paraId="367A2CE1" w14:textId="77777777" w:rsidR="0088481D" w:rsidRPr="00C316F8" w:rsidRDefault="0088481D" w:rsidP="003B711F">
            <w:pPr>
              <w:jc w:val="both"/>
              <w:rPr>
                <w:rFonts w:cstheme="minorHAnsi"/>
                <w:sz w:val="24"/>
                <w:szCs w:val="24"/>
              </w:rPr>
            </w:pPr>
            <w:r w:rsidRPr="00C316F8">
              <w:rPr>
                <w:rFonts w:cstheme="minorHAnsi"/>
                <w:color w:val="0D0D0D"/>
                <w:sz w:val="24"/>
                <w:szCs w:val="24"/>
              </w:rPr>
              <w:t>CONFIDENCE INTERVAL 95%</w:t>
            </w:r>
          </w:p>
        </w:tc>
        <w:tc>
          <w:tcPr>
            <w:tcW w:w="0" w:type="auto"/>
            <w:tcBorders>
              <w:bottom w:val="single" w:sz="4" w:space="0" w:color="auto"/>
            </w:tcBorders>
          </w:tcPr>
          <w:p w14:paraId="08188F3B" w14:textId="77777777" w:rsidR="0088481D" w:rsidRPr="00C316F8" w:rsidRDefault="0088481D" w:rsidP="003B711F">
            <w:pPr>
              <w:jc w:val="both"/>
              <w:rPr>
                <w:rFonts w:cstheme="minorHAnsi"/>
                <w:sz w:val="24"/>
                <w:szCs w:val="24"/>
              </w:rPr>
            </w:pPr>
            <w:r w:rsidRPr="00C316F8">
              <w:rPr>
                <w:rFonts w:cstheme="minorHAnsi"/>
                <w:sz w:val="24"/>
                <w:szCs w:val="24"/>
              </w:rPr>
              <w:t>P VALUE</w:t>
            </w:r>
          </w:p>
        </w:tc>
      </w:tr>
      <w:tr w:rsidR="0088481D" w:rsidRPr="00C316F8" w14:paraId="79634DFF" w14:textId="77777777" w:rsidTr="001444F0">
        <w:tc>
          <w:tcPr>
            <w:tcW w:w="0" w:type="auto"/>
            <w:vMerge w:val="restart"/>
          </w:tcPr>
          <w:p w14:paraId="511B13AC" w14:textId="77777777" w:rsidR="0088481D" w:rsidRPr="00C316F8" w:rsidRDefault="0088481D" w:rsidP="003B711F">
            <w:pPr>
              <w:jc w:val="both"/>
              <w:rPr>
                <w:rFonts w:cstheme="minorHAnsi"/>
                <w:sz w:val="24"/>
                <w:szCs w:val="24"/>
              </w:rPr>
            </w:pPr>
          </w:p>
        </w:tc>
        <w:tc>
          <w:tcPr>
            <w:tcW w:w="0" w:type="auto"/>
          </w:tcPr>
          <w:p w14:paraId="16CE83F4" w14:textId="77777777" w:rsidR="0088481D" w:rsidRPr="00C316F8" w:rsidRDefault="0088481D" w:rsidP="003B711F">
            <w:pPr>
              <w:jc w:val="both"/>
              <w:rPr>
                <w:rFonts w:cstheme="minorHAnsi"/>
                <w:sz w:val="24"/>
                <w:szCs w:val="24"/>
              </w:rPr>
            </w:pPr>
            <w:r w:rsidRPr="00C316F8">
              <w:rPr>
                <w:rFonts w:cstheme="minorHAnsi"/>
                <w:sz w:val="24"/>
                <w:szCs w:val="24"/>
              </w:rPr>
              <w:t>Rho</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BA8F2A6" w14:textId="77777777" w:rsidR="0088481D" w:rsidRPr="00C316F8" w:rsidRDefault="0088481D" w:rsidP="003B711F">
            <w:pPr>
              <w:jc w:val="both"/>
              <w:rPr>
                <w:rFonts w:cstheme="minorHAnsi"/>
                <w:color w:val="000000"/>
                <w:sz w:val="24"/>
                <w:szCs w:val="24"/>
              </w:rPr>
            </w:pPr>
            <w:r w:rsidRPr="00C316F8">
              <w:rPr>
                <w:rFonts w:cstheme="minorHAnsi"/>
                <w:sz w:val="24"/>
                <w:szCs w:val="24"/>
              </w:rPr>
              <w:t>0.24</w:t>
            </w:r>
          </w:p>
        </w:tc>
        <w:tc>
          <w:tcPr>
            <w:tcW w:w="0" w:type="auto"/>
            <w:tcBorders>
              <w:top w:val="single" w:sz="4" w:space="0" w:color="auto"/>
              <w:left w:val="nil"/>
              <w:bottom w:val="single" w:sz="4" w:space="0" w:color="auto"/>
              <w:right w:val="single" w:sz="4" w:space="0" w:color="auto"/>
            </w:tcBorders>
            <w:shd w:val="clear" w:color="auto" w:fill="auto"/>
          </w:tcPr>
          <w:p w14:paraId="6B7176F6" w14:textId="77777777" w:rsidR="0088481D" w:rsidRPr="00C316F8" w:rsidRDefault="0088481D" w:rsidP="003B711F">
            <w:pPr>
              <w:jc w:val="both"/>
              <w:rPr>
                <w:rFonts w:cstheme="minorHAnsi"/>
                <w:color w:val="000000"/>
                <w:sz w:val="24"/>
                <w:szCs w:val="24"/>
              </w:rPr>
            </w:pPr>
            <w:r w:rsidRPr="00C316F8">
              <w:rPr>
                <w:rFonts w:cstheme="minorHAnsi"/>
                <w:sz w:val="24"/>
                <w:szCs w:val="24"/>
              </w:rPr>
              <w:t>0.15</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AED9F18" w14:textId="77777777" w:rsidR="0088481D" w:rsidRPr="00C316F8" w:rsidRDefault="0088481D" w:rsidP="003B711F">
            <w:pPr>
              <w:jc w:val="both"/>
              <w:rPr>
                <w:rFonts w:cstheme="minorHAnsi"/>
                <w:color w:val="000000"/>
                <w:sz w:val="24"/>
                <w:szCs w:val="24"/>
              </w:rPr>
            </w:pPr>
            <w:r w:rsidRPr="00C316F8">
              <w:rPr>
                <w:rFonts w:cstheme="minorHAnsi"/>
                <w:sz w:val="24"/>
                <w:szCs w:val="24"/>
              </w:rPr>
              <w:t>0.33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8FD52EF" w14:textId="77777777" w:rsidR="0088481D" w:rsidRPr="00C316F8" w:rsidRDefault="0088481D" w:rsidP="003B711F">
            <w:pPr>
              <w:jc w:val="both"/>
              <w:rPr>
                <w:rFonts w:cstheme="minorHAnsi"/>
                <w:color w:val="000000"/>
                <w:sz w:val="24"/>
                <w:szCs w:val="24"/>
              </w:rPr>
            </w:pPr>
            <w:r w:rsidRPr="00C316F8">
              <w:rPr>
                <w:rFonts w:cstheme="minorHAnsi"/>
                <w:sz w:val="24"/>
                <w:szCs w:val="24"/>
              </w:rPr>
              <w:t>&lt;0.0005</w:t>
            </w:r>
          </w:p>
        </w:tc>
      </w:tr>
      <w:tr w:rsidR="0088481D" w:rsidRPr="00C316F8" w14:paraId="5AEE0636" w14:textId="77777777" w:rsidTr="001444F0">
        <w:tc>
          <w:tcPr>
            <w:tcW w:w="0" w:type="auto"/>
            <w:vMerge/>
          </w:tcPr>
          <w:p w14:paraId="71B43229" w14:textId="77777777" w:rsidR="0088481D" w:rsidRPr="00C316F8" w:rsidRDefault="0088481D" w:rsidP="003B711F">
            <w:pPr>
              <w:jc w:val="both"/>
              <w:rPr>
                <w:rFonts w:cstheme="minorHAnsi"/>
                <w:sz w:val="24"/>
                <w:szCs w:val="24"/>
              </w:rPr>
            </w:pPr>
          </w:p>
        </w:tc>
        <w:tc>
          <w:tcPr>
            <w:tcW w:w="0" w:type="auto"/>
          </w:tcPr>
          <w:p w14:paraId="28F538EB" w14:textId="77777777" w:rsidR="0088481D" w:rsidRPr="00C316F8" w:rsidRDefault="0088481D" w:rsidP="003B711F">
            <w:pPr>
              <w:jc w:val="both"/>
              <w:rPr>
                <w:rFonts w:cstheme="minorHAnsi"/>
                <w:sz w:val="24"/>
                <w:szCs w:val="24"/>
              </w:rPr>
            </w:pPr>
            <w:r w:rsidRPr="00C316F8">
              <w:rPr>
                <w:rFonts w:cstheme="minorHAnsi"/>
                <w:sz w:val="24"/>
                <w:szCs w:val="24"/>
              </w:rPr>
              <w:t>(Intercept)</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2956A1C" w14:textId="77777777" w:rsidR="0088481D" w:rsidRPr="00C316F8" w:rsidRDefault="0088481D" w:rsidP="003B711F">
            <w:pPr>
              <w:jc w:val="both"/>
              <w:rPr>
                <w:rFonts w:cstheme="minorHAnsi"/>
                <w:color w:val="000000"/>
                <w:sz w:val="24"/>
                <w:szCs w:val="24"/>
              </w:rPr>
            </w:pPr>
            <w:r w:rsidRPr="00C316F8">
              <w:rPr>
                <w:rFonts w:cstheme="minorHAnsi"/>
                <w:sz w:val="24"/>
                <w:szCs w:val="24"/>
              </w:rPr>
              <w:t>-1.003</w:t>
            </w:r>
          </w:p>
        </w:tc>
        <w:tc>
          <w:tcPr>
            <w:tcW w:w="0" w:type="auto"/>
            <w:tcBorders>
              <w:top w:val="single" w:sz="4" w:space="0" w:color="auto"/>
              <w:left w:val="nil"/>
              <w:bottom w:val="single" w:sz="4" w:space="0" w:color="auto"/>
              <w:right w:val="single" w:sz="4" w:space="0" w:color="auto"/>
            </w:tcBorders>
            <w:shd w:val="clear" w:color="auto" w:fill="auto"/>
          </w:tcPr>
          <w:p w14:paraId="19148CBD" w14:textId="77777777" w:rsidR="0088481D" w:rsidRPr="00C316F8" w:rsidRDefault="0088481D" w:rsidP="003B711F">
            <w:pPr>
              <w:jc w:val="both"/>
              <w:rPr>
                <w:rFonts w:cstheme="minorHAnsi"/>
                <w:color w:val="000000"/>
                <w:sz w:val="24"/>
                <w:szCs w:val="24"/>
              </w:rPr>
            </w:pPr>
            <w:r w:rsidRPr="00C316F8">
              <w:rPr>
                <w:rFonts w:cstheme="minorHAnsi"/>
                <w:sz w:val="24"/>
                <w:szCs w:val="24"/>
              </w:rPr>
              <w:t>-21.488353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467FCF6" w14:textId="77777777" w:rsidR="0088481D" w:rsidRPr="00C316F8" w:rsidRDefault="0088481D" w:rsidP="003B711F">
            <w:pPr>
              <w:jc w:val="both"/>
              <w:rPr>
                <w:rFonts w:cstheme="minorHAnsi"/>
                <w:color w:val="000000"/>
                <w:sz w:val="24"/>
                <w:szCs w:val="24"/>
              </w:rPr>
            </w:pPr>
            <w:r w:rsidRPr="00C316F8">
              <w:rPr>
                <w:rFonts w:cstheme="minorHAnsi"/>
                <w:sz w:val="24"/>
                <w:szCs w:val="24"/>
              </w:rPr>
              <w:t>19.48</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4603C16" w14:textId="77777777" w:rsidR="0088481D" w:rsidRPr="00C316F8" w:rsidRDefault="0088481D" w:rsidP="003B711F">
            <w:pPr>
              <w:jc w:val="both"/>
              <w:rPr>
                <w:rFonts w:cstheme="minorHAnsi"/>
                <w:color w:val="000000"/>
                <w:sz w:val="24"/>
                <w:szCs w:val="24"/>
              </w:rPr>
            </w:pPr>
            <w:r w:rsidRPr="00C316F8">
              <w:rPr>
                <w:rFonts w:cstheme="minorHAnsi"/>
                <w:sz w:val="24"/>
                <w:szCs w:val="24"/>
              </w:rPr>
              <w:t>0.92</w:t>
            </w:r>
          </w:p>
        </w:tc>
      </w:tr>
      <w:tr w:rsidR="0088481D" w:rsidRPr="00C316F8" w14:paraId="0BDE5156" w14:textId="77777777" w:rsidTr="001444F0">
        <w:tc>
          <w:tcPr>
            <w:tcW w:w="0" w:type="auto"/>
            <w:vMerge w:val="restart"/>
          </w:tcPr>
          <w:p w14:paraId="787126DF" w14:textId="77777777" w:rsidR="0088481D" w:rsidRPr="00C316F8" w:rsidRDefault="0088481D" w:rsidP="003B711F">
            <w:pPr>
              <w:jc w:val="both"/>
              <w:rPr>
                <w:rFonts w:cstheme="minorHAnsi"/>
                <w:sz w:val="24"/>
                <w:szCs w:val="24"/>
              </w:rPr>
            </w:pPr>
            <w:r w:rsidRPr="00C316F8">
              <w:rPr>
                <w:rFonts w:cstheme="minorHAnsi"/>
                <w:sz w:val="24"/>
                <w:szCs w:val="24"/>
              </w:rPr>
              <w:lastRenderedPageBreak/>
              <w:t>Household education conditions</w:t>
            </w:r>
          </w:p>
        </w:tc>
        <w:tc>
          <w:tcPr>
            <w:tcW w:w="0" w:type="auto"/>
          </w:tcPr>
          <w:p w14:paraId="27ED3060" w14:textId="77777777" w:rsidR="0088481D" w:rsidRPr="00C316F8" w:rsidRDefault="0088481D" w:rsidP="003B711F">
            <w:pPr>
              <w:jc w:val="both"/>
              <w:rPr>
                <w:rFonts w:cstheme="minorHAnsi"/>
                <w:sz w:val="24"/>
                <w:szCs w:val="24"/>
              </w:rPr>
            </w:pPr>
            <w:r w:rsidRPr="00C316F8">
              <w:rPr>
                <w:rFonts w:cstheme="minorHAnsi"/>
                <w:sz w:val="24"/>
                <w:szCs w:val="24"/>
              </w:rPr>
              <w:t>Low educational achievement</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16593FD" w14:textId="77777777" w:rsidR="0088481D" w:rsidRPr="00C316F8" w:rsidRDefault="0088481D" w:rsidP="003B711F">
            <w:pPr>
              <w:jc w:val="both"/>
              <w:rPr>
                <w:rFonts w:cstheme="minorHAnsi"/>
                <w:sz w:val="24"/>
                <w:szCs w:val="24"/>
              </w:rPr>
            </w:pPr>
            <w:r w:rsidRPr="00C316F8">
              <w:rPr>
                <w:rFonts w:cstheme="minorHAnsi"/>
                <w:sz w:val="24"/>
                <w:szCs w:val="24"/>
              </w:rPr>
              <w:t>0.06</w:t>
            </w:r>
          </w:p>
        </w:tc>
        <w:tc>
          <w:tcPr>
            <w:tcW w:w="0" w:type="auto"/>
            <w:tcBorders>
              <w:top w:val="single" w:sz="4" w:space="0" w:color="auto"/>
              <w:left w:val="nil"/>
              <w:bottom w:val="single" w:sz="4" w:space="0" w:color="auto"/>
              <w:right w:val="single" w:sz="4" w:space="0" w:color="auto"/>
            </w:tcBorders>
            <w:shd w:val="clear" w:color="auto" w:fill="auto"/>
          </w:tcPr>
          <w:p w14:paraId="40EB24D5" w14:textId="77777777" w:rsidR="0088481D" w:rsidRPr="00C316F8" w:rsidRDefault="0088481D" w:rsidP="003B711F">
            <w:pPr>
              <w:jc w:val="both"/>
              <w:rPr>
                <w:rFonts w:cstheme="minorHAnsi"/>
                <w:sz w:val="24"/>
                <w:szCs w:val="24"/>
              </w:rPr>
            </w:pPr>
            <w:r w:rsidRPr="00C316F8">
              <w:rPr>
                <w:rFonts w:cstheme="minorHAnsi"/>
                <w:sz w:val="24"/>
                <w:szCs w:val="24"/>
              </w:rPr>
              <w:t>-0.08</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7F0C3A4" w14:textId="77777777" w:rsidR="0088481D" w:rsidRPr="00C316F8" w:rsidRDefault="0088481D" w:rsidP="003B711F">
            <w:pPr>
              <w:jc w:val="both"/>
              <w:rPr>
                <w:rFonts w:cstheme="minorHAnsi"/>
                <w:sz w:val="24"/>
                <w:szCs w:val="24"/>
              </w:rPr>
            </w:pPr>
            <w:r w:rsidRPr="00C316F8">
              <w:rPr>
                <w:rFonts w:cstheme="minorHAnsi"/>
                <w:sz w:val="24"/>
                <w:szCs w:val="24"/>
              </w:rPr>
              <w:t>0.21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A8E3044" w14:textId="77777777" w:rsidR="0088481D" w:rsidRPr="00C316F8" w:rsidRDefault="0088481D" w:rsidP="003B711F">
            <w:pPr>
              <w:jc w:val="both"/>
              <w:rPr>
                <w:rFonts w:cstheme="minorHAnsi"/>
                <w:sz w:val="24"/>
                <w:szCs w:val="24"/>
              </w:rPr>
            </w:pPr>
            <w:r w:rsidRPr="00C316F8">
              <w:rPr>
                <w:rFonts w:cstheme="minorHAnsi"/>
                <w:sz w:val="24"/>
                <w:szCs w:val="24"/>
              </w:rPr>
              <w:t>0.42</w:t>
            </w:r>
          </w:p>
        </w:tc>
      </w:tr>
      <w:tr w:rsidR="0088481D" w:rsidRPr="00C316F8" w14:paraId="46747378" w14:textId="77777777" w:rsidTr="001444F0">
        <w:tc>
          <w:tcPr>
            <w:tcW w:w="0" w:type="auto"/>
            <w:vMerge/>
          </w:tcPr>
          <w:p w14:paraId="6AE2FF4B" w14:textId="77777777" w:rsidR="0088481D" w:rsidRPr="00C316F8" w:rsidRDefault="0088481D" w:rsidP="003B711F">
            <w:pPr>
              <w:jc w:val="both"/>
              <w:rPr>
                <w:rFonts w:cstheme="minorHAnsi"/>
                <w:sz w:val="24"/>
                <w:szCs w:val="24"/>
              </w:rPr>
            </w:pPr>
          </w:p>
        </w:tc>
        <w:tc>
          <w:tcPr>
            <w:tcW w:w="0" w:type="auto"/>
          </w:tcPr>
          <w:p w14:paraId="2168E326" w14:textId="77777777" w:rsidR="0088481D" w:rsidRPr="00C316F8" w:rsidRDefault="0088481D" w:rsidP="003B711F">
            <w:pPr>
              <w:jc w:val="both"/>
              <w:rPr>
                <w:rFonts w:cstheme="minorHAnsi"/>
                <w:sz w:val="24"/>
                <w:szCs w:val="24"/>
              </w:rPr>
            </w:pPr>
            <w:r w:rsidRPr="00C316F8">
              <w:rPr>
                <w:rFonts w:cstheme="minorHAnsi"/>
                <w:sz w:val="24"/>
                <w:szCs w:val="24"/>
              </w:rPr>
              <w:t>Illiteracy</w:t>
            </w:r>
          </w:p>
        </w:tc>
        <w:tc>
          <w:tcPr>
            <w:tcW w:w="0" w:type="auto"/>
          </w:tcPr>
          <w:p w14:paraId="4FDEE8DE" w14:textId="77777777" w:rsidR="0088481D" w:rsidRPr="00C316F8" w:rsidRDefault="0088481D" w:rsidP="003B711F">
            <w:pPr>
              <w:jc w:val="both"/>
              <w:rPr>
                <w:rFonts w:cstheme="minorHAnsi"/>
                <w:sz w:val="24"/>
                <w:szCs w:val="24"/>
              </w:rPr>
            </w:pPr>
            <w:r w:rsidRPr="00C316F8">
              <w:rPr>
                <w:rFonts w:cstheme="minorHAnsi"/>
                <w:sz w:val="24"/>
                <w:szCs w:val="24"/>
              </w:rPr>
              <w:t>0.02</w:t>
            </w:r>
          </w:p>
        </w:tc>
        <w:tc>
          <w:tcPr>
            <w:tcW w:w="0" w:type="auto"/>
            <w:tcBorders>
              <w:top w:val="single" w:sz="4" w:space="0" w:color="auto"/>
            </w:tcBorders>
          </w:tcPr>
          <w:p w14:paraId="3598721A" w14:textId="77777777" w:rsidR="0088481D" w:rsidRPr="00C316F8" w:rsidRDefault="0088481D" w:rsidP="003B711F">
            <w:pPr>
              <w:jc w:val="both"/>
              <w:rPr>
                <w:rFonts w:cstheme="minorHAnsi"/>
                <w:sz w:val="24"/>
                <w:szCs w:val="24"/>
              </w:rPr>
            </w:pPr>
            <w:r w:rsidRPr="00C316F8">
              <w:rPr>
                <w:rFonts w:cstheme="minorHAnsi"/>
                <w:sz w:val="24"/>
                <w:szCs w:val="24"/>
              </w:rPr>
              <w:t>-0.21</w:t>
            </w:r>
          </w:p>
        </w:tc>
        <w:tc>
          <w:tcPr>
            <w:tcW w:w="0" w:type="auto"/>
            <w:tcBorders>
              <w:top w:val="single" w:sz="4" w:space="0" w:color="auto"/>
            </w:tcBorders>
          </w:tcPr>
          <w:p w14:paraId="345E270A" w14:textId="77777777" w:rsidR="0088481D" w:rsidRPr="00C316F8" w:rsidRDefault="0088481D" w:rsidP="003B711F">
            <w:pPr>
              <w:jc w:val="both"/>
              <w:rPr>
                <w:rFonts w:cstheme="minorHAnsi"/>
                <w:sz w:val="24"/>
                <w:szCs w:val="24"/>
              </w:rPr>
            </w:pPr>
            <w:r w:rsidRPr="00C316F8">
              <w:rPr>
                <w:rFonts w:cstheme="minorHAnsi"/>
                <w:sz w:val="24"/>
                <w:szCs w:val="24"/>
              </w:rPr>
              <w:t>0.27</w:t>
            </w:r>
          </w:p>
        </w:tc>
        <w:tc>
          <w:tcPr>
            <w:tcW w:w="0" w:type="auto"/>
            <w:tcBorders>
              <w:top w:val="single" w:sz="4" w:space="0" w:color="auto"/>
            </w:tcBorders>
          </w:tcPr>
          <w:p w14:paraId="1B0C6B13" w14:textId="77777777" w:rsidR="0088481D" w:rsidRPr="00C316F8" w:rsidRDefault="0088481D" w:rsidP="003B711F">
            <w:pPr>
              <w:jc w:val="both"/>
              <w:rPr>
                <w:rFonts w:cstheme="minorHAnsi"/>
                <w:sz w:val="24"/>
                <w:szCs w:val="24"/>
              </w:rPr>
            </w:pPr>
            <w:r w:rsidRPr="00C316F8">
              <w:rPr>
                <w:rFonts w:cstheme="minorHAnsi"/>
                <w:sz w:val="24"/>
                <w:szCs w:val="24"/>
              </w:rPr>
              <w:t>0.81</w:t>
            </w:r>
          </w:p>
        </w:tc>
      </w:tr>
      <w:tr w:rsidR="0088481D" w:rsidRPr="00C316F8" w14:paraId="7960964B" w14:textId="77777777" w:rsidTr="001444F0">
        <w:tc>
          <w:tcPr>
            <w:tcW w:w="0" w:type="auto"/>
            <w:vMerge w:val="restart"/>
          </w:tcPr>
          <w:p w14:paraId="7C7EABF1" w14:textId="77777777" w:rsidR="0088481D" w:rsidRPr="00C316F8" w:rsidRDefault="0088481D" w:rsidP="003B711F">
            <w:pPr>
              <w:jc w:val="both"/>
              <w:rPr>
                <w:rFonts w:cstheme="minorHAnsi"/>
                <w:sz w:val="24"/>
                <w:szCs w:val="24"/>
              </w:rPr>
            </w:pPr>
            <w:r w:rsidRPr="00C316F8">
              <w:rPr>
                <w:rFonts w:cstheme="minorHAnsi"/>
                <w:sz w:val="24"/>
                <w:szCs w:val="24"/>
              </w:rPr>
              <w:t>Childhood and youth conditions</w:t>
            </w:r>
          </w:p>
        </w:tc>
        <w:tc>
          <w:tcPr>
            <w:tcW w:w="0" w:type="auto"/>
          </w:tcPr>
          <w:p w14:paraId="2297253A" w14:textId="77777777" w:rsidR="0088481D" w:rsidRPr="00C316F8" w:rsidRDefault="0088481D" w:rsidP="003B711F">
            <w:pPr>
              <w:jc w:val="both"/>
              <w:rPr>
                <w:rFonts w:cstheme="minorHAnsi"/>
                <w:sz w:val="24"/>
                <w:szCs w:val="24"/>
              </w:rPr>
            </w:pPr>
            <w:r w:rsidRPr="00C316F8">
              <w:rPr>
                <w:rFonts w:cstheme="minorHAnsi"/>
                <w:sz w:val="24"/>
                <w:szCs w:val="24"/>
              </w:rPr>
              <w:t>School non-attendance</w:t>
            </w:r>
          </w:p>
        </w:tc>
        <w:tc>
          <w:tcPr>
            <w:tcW w:w="0" w:type="auto"/>
          </w:tcPr>
          <w:p w14:paraId="1B7BF279" w14:textId="77777777" w:rsidR="0088481D" w:rsidRPr="00C316F8" w:rsidRDefault="0088481D" w:rsidP="003B711F">
            <w:pPr>
              <w:jc w:val="both"/>
              <w:rPr>
                <w:rFonts w:cstheme="minorHAnsi"/>
                <w:sz w:val="24"/>
                <w:szCs w:val="24"/>
              </w:rPr>
            </w:pPr>
            <w:r w:rsidRPr="00C316F8">
              <w:rPr>
                <w:rFonts w:cstheme="minorHAnsi"/>
                <w:sz w:val="24"/>
                <w:szCs w:val="24"/>
              </w:rPr>
              <w:t>-0.39</w:t>
            </w:r>
          </w:p>
        </w:tc>
        <w:tc>
          <w:tcPr>
            <w:tcW w:w="0" w:type="auto"/>
          </w:tcPr>
          <w:p w14:paraId="7D11BB9C" w14:textId="77777777" w:rsidR="0088481D" w:rsidRPr="00C316F8" w:rsidRDefault="0088481D" w:rsidP="003B711F">
            <w:pPr>
              <w:jc w:val="both"/>
              <w:rPr>
                <w:rFonts w:cstheme="minorHAnsi"/>
                <w:sz w:val="24"/>
                <w:szCs w:val="24"/>
              </w:rPr>
            </w:pPr>
            <w:r w:rsidRPr="00C316F8">
              <w:rPr>
                <w:rFonts w:cstheme="minorHAnsi"/>
                <w:sz w:val="24"/>
                <w:szCs w:val="24"/>
              </w:rPr>
              <w:t>-1.11</w:t>
            </w:r>
          </w:p>
        </w:tc>
        <w:tc>
          <w:tcPr>
            <w:tcW w:w="0" w:type="auto"/>
          </w:tcPr>
          <w:p w14:paraId="2C573D98" w14:textId="77777777" w:rsidR="0088481D" w:rsidRPr="00C316F8" w:rsidRDefault="0088481D" w:rsidP="003B711F">
            <w:pPr>
              <w:jc w:val="both"/>
              <w:rPr>
                <w:rFonts w:cstheme="minorHAnsi"/>
                <w:sz w:val="24"/>
                <w:szCs w:val="24"/>
              </w:rPr>
            </w:pPr>
            <w:r w:rsidRPr="00C316F8">
              <w:rPr>
                <w:rFonts w:cstheme="minorHAnsi"/>
                <w:sz w:val="24"/>
                <w:szCs w:val="24"/>
              </w:rPr>
              <w:t>0.32</w:t>
            </w:r>
          </w:p>
        </w:tc>
        <w:tc>
          <w:tcPr>
            <w:tcW w:w="0" w:type="auto"/>
          </w:tcPr>
          <w:p w14:paraId="29E2B5AE" w14:textId="77777777" w:rsidR="0088481D" w:rsidRPr="00C316F8" w:rsidRDefault="0088481D" w:rsidP="003B711F">
            <w:pPr>
              <w:jc w:val="both"/>
              <w:rPr>
                <w:rFonts w:cstheme="minorHAnsi"/>
                <w:sz w:val="24"/>
                <w:szCs w:val="24"/>
              </w:rPr>
            </w:pPr>
            <w:r w:rsidRPr="00C316F8">
              <w:rPr>
                <w:rFonts w:cstheme="minorHAnsi"/>
                <w:sz w:val="24"/>
                <w:szCs w:val="24"/>
              </w:rPr>
              <w:t>0.27</w:t>
            </w:r>
          </w:p>
        </w:tc>
      </w:tr>
      <w:tr w:rsidR="0088481D" w:rsidRPr="00C316F8" w14:paraId="161199C2" w14:textId="77777777" w:rsidTr="001444F0">
        <w:tc>
          <w:tcPr>
            <w:tcW w:w="0" w:type="auto"/>
            <w:vMerge/>
          </w:tcPr>
          <w:p w14:paraId="0972C365" w14:textId="77777777" w:rsidR="0088481D" w:rsidRPr="00C316F8" w:rsidRDefault="0088481D" w:rsidP="003B711F">
            <w:pPr>
              <w:jc w:val="both"/>
              <w:rPr>
                <w:rFonts w:cstheme="minorHAnsi"/>
                <w:sz w:val="24"/>
                <w:szCs w:val="24"/>
              </w:rPr>
            </w:pPr>
          </w:p>
        </w:tc>
        <w:tc>
          <w:tcPr>
            <w:tcW w:w="0" w:type="auto"/>
          </w:tcPr>
          <w:p w14:paraId="12BEAED2" w14:textId="77777777" w:rsidR="0088481D" w:rsidRPr="00C316F8" w:rsidRDefault="0088481D" w:rsidP="003B711F">
            <w:pPr>
              <w:jc w:val="both"/>
              <w:rPr>
                <w:rFonts w:cstheme="minorHAnsi"/>
                <w:sz w:val="24"/>
                <w:szCs w:val="24"/>
              </w:rPr>
            </w:pPr>
            <w:r w:rsidRPr="00C316F8">
              <w:rPr>
                <w:rFonts w:cstheme="minorHAnsi"/>
                <w:sz w:val="24"/>
                <w:szCs w:val="24"/>
              </w:rPr>
              <w:t>School lag</w:t>
            </w:r>
          </w:p>
        </w:tc>
        <w:tc>
          <w:tcPr>
            <w:tcW w:w="0" w:type="auto"/>
          </w:tcPr>
          <w:p w14:paraId="38455973" w14:textId="77777777" w:rsidR="0088481D" w:rsidRPr="00C316F8" w:rsidRDefault="0088481D" w:rsidP="003B711F">
            <w:pPr>
              <w:jc w:val="both"/>
              <w:rPr>
                <w:rFonts w:cstheme="minorHAnsi"/>
                <w:sz w:val="24"/>
                <w:szCs w:val="24"/>
              </w:rPr>
            </w:pPr>
            <w:r w:rsidRPr="00C316F8">
              <w:rPr>
                <w:rFonts w:cstheme="minorHAnsi"/>
                <w:sz w:val="24"/>
                <w:szCs w:val="24"/>
              </w:rPr>
              <w:t>-0.34</w:t>
            </w:r>
          </w:p>
        </w:tc>
        <w:tc>
          <w:tcPr>
            <w:tcW w:w="0" w:type="auto"/>
          </w:tcPr>
          <w:p w14:paraId="57855C3B" w14:textId="77777777" w:rsidR="0088481D" w:rsidRPr="00C316F8" w:rsidRDefault="0088481D" w:rsidP="003B711F">
            <w:pPr>
              <w:jc w:val="both"/>
              <w:rPr>
                <w:rFonts w:cstheme="minorHAnsi"/>
                <w:sz w:val="24"/>
                <w:szCs w:val="24"/>
              </w:rPr>
            </w:pPr>
            <w:r w:rsidRPr="00C316F8">
              <w:rPr>
                <w:rFonts w:cstheme="minorHAnsi"/>
                <w:sz w:val="24"/>
                <w:szCs w:val="24"/>
              </w:rPr>
              <w:t>-0.67</w:t>
            </w:r>
          </w:p>
        </w:tc>
        <w:tc>
          <w:tcPr>
            <w:tcW w:w="0" w:type="auto"/>
          </w:tcPr>
          <w:p w14:paraId="323019E7" w14:textId="77777777" w:rsidR="0088481D" w:rsidRPr="00C316F8" w:rsidRDefault="0088481D" w:rsidP="003B711F">
            <w:pPr>
              <w:jc w:val="both"/>
              <w:rPr>
                <w:rFonts w:cstheme="minorHAnsi"/>
                <w:sz w:val="24"/>
                <w:szCs w:val="24"/>
              </w:rPr>
            </w:pPr>
            <w:r w:rsidRPr="00C316F8">
              <w:rPr>
                <w:rFonts w:cstheme="minorHAnsi"/>
                <w:sz w:val="24"/>
                <w:szCs w:val="24"/>
              </w:rPr>
              <w:t>-0.007</w:t>
            </w:r>
          </w:p>
        </w:tc>
        <w:tc>
          <w:tcPr>
            <w:tcW w:w="0" w:type="auto"/>
          </w:tcPr>
          <w:p w14:paraId="7A5E7DEB" w14:textId="77777777" w:rsidR="0088481D" w:rsidRPr="00C316F8" w:rsidRDefault="0088481D" w:rsidP="003B711F">
            <w:pPr>
              <w:jc w:val="both"/>
              <w:rPr>
                <w:rFonts w:cstheme="minorHAnsi"/>
                <w:sz w:val="24"/>
                <w:szCs w:val="24"/>
              </w:rPr>
            </w:pPr>
            <w:r w:rsidRPr="00C316F8">
              <w:rPr>
                <w:rFonts w:cstheme="minorHAnsi"/>
                <w:sz w:val="24"/>
                <w:szCs w:val="24"/>
              </w:rPr>
              <w:t>0.04</w:t>
            </w:r>
          </w:p>
        </w:tc>
      </w:tr>
      <w:tr w:rsidR="0088481D" w:rsidRPr="00C316F8" w14:paraId="3FDD3E9D" w14:textId="77777777" w:rsidTr="001444F0">
        <w:tc>
          <w:tcPr>
            <w:tcW w:w="0" w:type="auto"/>
            <w:vMerge/>
          </w:tcPr>
          <w:p w14:paraId="3C4464D8" w14:textId="77777777" w:rsidR="0088481D" w:rsidRPr="00C316F8" w:rsidRDefault="0088481D" w:rsidP="003B711F">
            <w:pPr>
              <w:jc w:val="both"/>
              <w:rPr>
                <w:rFonts w:cstheme="minorHAnsi"/>
                <w:sz w:val="24"/>
                <w:szCs w:val="24"/>
              </w:rPr>
            </w:pPr>
          </w:p>
        </w:tc>
        <w:tc>
          <w:tcPr>
            <w:tcW w:w="0" w:type="auto"/>
          </w:tcPr>
          <w:p w14:paraId="26DD833E" w14:textId="77777777" w:rsidR="0088481D" w:rsidRPr="00C316F8" w:rsidRDefault="0088481D" w:rsidP="003B711F">
            <w:pPr>
              <w:jc w:val="both"/>
              <w:rPr>
                <w:rFonts w:cstheme="minorHAnsi"/>
                <w:sz w:val="24"/>
                <w:szCs w:val="24"/>
              </w:rPr>
            </w:pPr>
            <w:r w:rsidRPr="00C316F8">
              <w:rPr>
                <w:rFonts w:cstheme="minorHAnsi"/>
                <w:sz w:val="24"/>
                <w:szCs w:val="24"/>
              </w:rPr>
              <w:t>Barriers to access for early childhood care</w:t>
            </w:r>
          </w:p>
        </w:tc>
        <w:tc>
          <w:tcPr>
            <w:tcW w:w="0" w:type="auto"/>
          </w:tcPr>
          <w:p w14:paraId="1B00B406" w14:textId="77777777" w:rsidR="0088481D" w:rsidRPr="00C316F8" w:rsidRDefault="0088481D" w:rsidP="003B711F">
            <w:pPr>
              <w:jc w:val="both"/>
              <w:rPr>
                <w:rFonts w:cstheme="minorHAnsi"/>
                <w:sz w:val="24"/>
                <w:szCs w:val="24"/>
              </w:rPr>
            </w:pPr>
            <w:r w:rsidRPr="00C316F8">
              <w:rPr>
                <w:rFonts w:cstheme="minorHAnsi"/>
                <w:sz w:val="24"/>
                <w:szCs w:val="24"/>
              </w:rPr>
              <w:t>0.800754</w:t>
            </w:r>
          </w:p>
        </w:tc>
        <w:tc>
          <w:tcPr>
            <w:tcW w:w="0" w:type="auto"/>
          </w:tcPr>
          <w:p w14:paraId="0506FD23" w14:textId="77777777" w:rsidR="0088481D" w:rsidRPr="00C316F8" w:rsidRDefault="0088481D" w:rsidP="003B711F">
            <w:pPr>
              <w:jc w:val="both"/>
              <w:rPr>
                <w:rFonts w:cstheme="minorHAnsi"/>
                <w:sz w:val="24"/>
                <w:szCs w:val="24"/>
              </w:rPr>
            </w:pPr>
            <w:r w:rsidRPr="00C316F8">
              <w:rPr>
                <w:rFonts w:cstheme="minorHAnsi"/>
                <w:sz w:val="24"/>
                <w:szCs w:val="24"/>
              </w:rPr>
              <w:t>-0.45</w:t>
            </w:r>
          </w:p>
        </w:tc>
        <w:tc>
          <w:tcPr>
            <w:tcW w:w="0" w:type="auto"/>
          </w:tcPr>
          <w:p w14:paraId="7829C89B" w14:textId="77777777" w:rsidR="0088481D" w:rsidRPr="00C316F8" w:rsidRDefault="0088481D" w:rsidP="003B711F">
            <w:pPr>
              <w:jc w:val="both"/>
              <w:rPr>
                <w:rFonts w:cstheme="minorHAnsi"/>
                <w:sz w:val="24"/>
                <w:szCs w:val="24"/>
              </w:rPr>
            </w:pPr>
            <w:r w:rsidRPr="00C316F8">
              <w:rPr>
                <w:rFonts w:cstheme="minorHAnsi"/>
                <w:sz w:val="24"/>
                <w:szCs w:val="24"/>
              </w:rPr>
              <w:t>2.05</w:t>
            </w:r>
          </w:p>
        </w:tc>
        <w:tc>
          <w:tcPr>
            <w:tcW w:w="0" w:type="auto"/>
          </w:tcPr>
          <w:p w14:paraId="7601D88B" w14:textId="77777777" w:rsidR="0088481D" w:rsidRPr="00C316F8" w:rsidRDefault="0088481D" w:rsidP="003B711F">
            <w:pPr>
              <w:jc w:val="both"/>
              <w:rPr>
                <w:rFonts w:cstheme="minorHAnsi"/>
                <w:sz w:val="24"/>
                <w:szCs w:val="24"/>
              </w:rPr>
            </w:pPr>
            <w:r w:rsidRPr="00C316F8">
              <w:rPr>
                <w:rFonts w:cstheme="minorHAnsi"/>
                <w:sz w:val="24"/>
                <w:szCs w:val="24"/>
              </w:rPr>
              <w:t>0.21</w:t>
            </w:r>
          </w:p>
        </w:tc>
      </w:tr>
      <w:tr w:rsidR="0088481D" w:rsidRPr="00C316F8" w14:paraId="41D477DA" w14:textId="77777777" w:rsidTr="001444F0">
        <w:tc>
          <w:tcPr>
            <w:tcW w:w="0" w:type="auto"/>
            <w:vMerge/>
          </w:tcPr>
          <w:p w14:paraId="25B7D917" w14:textId="77777777" w:rsidR="0088481D" w:rsidRPr="00C316F8" w:rsidRDefault="0088481D" w:rsidP="003B711F">
            <w:pPr>
              <w:jc w:val="both"/>
              <w:rPr>
                <w:rFonts w:cstheme="minorHAnsi"/>
                <w:sz w:val="24"/>
                <w:szCs w:val="24"/>
              </w:rPr>
            </w:pPr>
          </w:p>
        </w:tc>
        <w:tc>
          <w:tcPr>
            <w:tcW w:w="0" w:type="auto"/>
          </w:tcPr>
          <w:p w14:paraId="191008D8" w14:textId="77777777" w:rsidR="0088481D" w:rsidRPr="00C316F8" w:rsidRDefault="0088481D" w:rsidP="003B711F">
            <w:pPr>
              <w:jc w:val="both"/>
              <w:rPr>
                <w:rFonts w:cstheme="minorHAnsi"/>
                <w:sz w:val="24"/>
                <w:szCs w:val="24"/>
              </w:rPr>
            </w:pPr>
            <w:r w:rsidRPr="00C316F8">
              <w:rPr>
                <w:rFonts w:cstheme="minorHAnsi"/>
                <w:sz w:val="24"/>
                <w:szCs w:val="24"/>
              </w:rPr>
              <w:t>Child labor</w:t>
            </w:r>
          </w:p>
        </w:tc>
        <w:tc>
          <w:tcPr>
            <w:tcW w:w="0" w:type="auto"/>
          </w:tcPr>
          <w:p w14:paraId="173016DF" w14:textId="77777777" w:rsidR="0088481D" w:rsidRPr="00C316F8" w:rsidRDefault="0088481D" w:rsidP="003B711F">
            <w:pPr>
              <w:jc w:val="both"/>
              <w:rPr>
                <w:rFonts w:cstheme="minorHAnsi"/>
                <w:sz w:val="24"/>
                <w:szCs w:val="24"/>
              </w:rPr>
            </w:pPr>
            <w:r w:rsidRPr="00C316F8">
              <w:rPr>
                <w:rFonts w:cstheme="minorHAnsi"/>
                <w:sz w:val="24"/>
                <w:szCs w:val="24"/>
              </w:rPr>
              <w:t>0.07</w:t>
            </w:r>
          </w:p>
        </w:tc>
        <w:tc>
          <w:tcPr>
            <w:tcW w:w="0" w:type="auto"/>
          </w:tcPr>
          <w:p w14:paraId="2AEA18AB" w14:textId="77777777" w:rsidR="0088481D" w:rsidRPr="00C316F8" w:rsidRDefault="0088481D" w:rsidP="003B711F">
            <w:pPr>
              <w:jc w:val="both"/>
              <w:rPr>
                <w:rFonts w:cstheme="minorHAnsi"/>
                <w:sz w:val="24"/>
                <w:szCs w:val="24"/>
              </w:rPr>
            </w:pPr>
            <w:r w:rsidRPr="00C316F8">
              <w:rPr>
                <w:rFonts w:cstheme="minorHAnsi"/>
                <w:sz w:val="24"/>
                <w:szCs w:val="24"/>
              </w:rPr>
              <w:t>-1.22</w:t>
            </w:r>
          </w:p>
        </w:tc>
        <w:tc>
          <w:tcPr>
            <w:tcW w:w="0" w:type="auto"/>
          </w:tcPr>
          <w:p w14:paraId="71C11FAD" w14:textId="77777777" w:rsidR="0088481D" w:rsidRPr="00C316F8" w:rsidRDefault="0088481D" w:rsidP="003B711F">
            <w:pPr>
              <w:jc w:val="both"/>
              <w:rPr>
                <w:rFonts w:cstheme="minorHAnsi"/>
                <w:sz w:val="24"/>
                <w:szCs w:val="24"/>
              </w:rPr>
            </w:pPr>
            <w:r w:rsidRPr="00C316F8">
              <w:rPr>
                <w:rFonts w:cstheme="minorHAnsi"/>
                <w:sz w:val="24"/>
                <w:szCs w:val="24"/>
              </w:rPr>
              <w:t>1.37</w:t>
            </w:r>
          </w:p>
        </w:tc>
        <w:tc>
          <w:tcPr>
            <w:tcW w:w="0" w:type="auto"/>
          </w:tcPr>
          <w:p w14:paraId="18E91B99" w14:textId="77777777" w:rsidR="0088481D" w:rsidRPr="00C316F8" w:rsidRDefault="0088481D" w:rsidP="003B711F">
            <w:pPr>
              <w:jc w:val="both"/>
              <w:rPr>
                <w:rFonts w:cstheme="minorHAnsi"/>
                <w:sz w:val="24"/>
                <w:szCs w:val="24"/>
              </w:rPr>
            </w:pPr>
            <w:r w:rsidRPr="00C316F8">
              <w:rPr>
                <w:rFonts w:cstheme="minorHAnsi"/>
                <w:sz w:val="24"/>
                <w:szCs w:val="24"/>
              </w:rPr>
              <w:t>0.9</w:t>
            </w:r>
          </w:p>
        </w:tc>
      </w:tr>
      <w:tr w:rsidR="0088481D" w:rsidRPr="00C316F8" w14:paraId="2A198967" w14:textId="77777777" w:rsidTr="001444F0">
        <w:tc>
          <w:tcPr>
            <w:tcW w:w="0" w:type="auto"/>
            <w:vMerge w:val="restart"/>
          </w:tcPr>
          <w:p w14:paraId="0F06B3AD" w14:textId="77777777" w:rsidR="0088481D" w:rsidRPr="00C316F8" w:rsidRDefault="0088481D" w:rsidP="003B711F">
            <w:pPr>
              <w:jc w:val="both"/>
              <w:rPr>
                <w:rFonts w:cstheme="minorHAnsi"/>
                <w:sz w:val="24"/>
                <w:szCs w:val="24"/>
              </w:rPr>
            </w:pPr>
            <w:r w:rsidRPr="00C316F8">
              <w:rPr>
                <w:rFonts w:cstheme="minorHAnsi"/>
                <w:sz w:val="24"/>
                <w:szCs w:val="24"/>
              </w:rPr>
              <w:t>Employment</w:t>
            </w:r>
          </w:p>
        </w:tc>
        <w:tc>
          <w:tcPr>
            <w:tcW w:w="0" w:type="auto"/>
          </w:tcPr>
          <w:p w14:paraId="0F27A049" w14:textId="77777777" w:rsidR="0088481D" w:rsidRPr="00C316F8" w:rsidRDefault="0088481D" w:rsidP="003B711F">
            <w:pPr>
              <w:jc w:val="both"/>
              <w:rPr>
                <w:rFonts w:cstheme="minorHAnsi"/>
                <w:sz w:val="24"/>
                <w:szCs w:val="24"/>
              </w:rPr>
            </w:pPr>
            <w:r w:rsidRPr="00C316F8">
              <w:rPr>
                <w:rFonts w:cstheme="minorHAnsi"/>
                <w:sz w:val="24"/>
                <w:szCs w:val="24"/>
              </w:rPr>
              <w:t>Long-term unemployment</w:t>
            </w:r>
          </w:p>
        </w:tc>
        <w:tc>
          <w:tcPr>
            <w:tcW w:w="0" w:type="auto"/>
          </w:tcPr>
          <w:p w14:paraId="7E3CB8FA" w14:textId="77777777" w:rsidR="0088481D" w:rsidRPr="00C316F8" w:rsidRDefault="0088481D" w:rsidP="003B711F">
            <w:pPr>
              <w:jc w:val="both"/>
              <w:rPr>
                <w:rFonts w:cstheme="minorHAnsi"/>
                <w:sz w:val="24"/>
                <w:szCs w:val="24"/>
              </w:rPr>
            </w:pPr>
            <w:r w:rsidRPr="00C316F8">
              <w:rPr>
                <w:rFonts w:cstheme="minorHAnsi"/>
                <w:sz w:val="24"/>
                <w:szCs w:val="24"/>
              </w:rPr>
              <w:t>0.121</w:t>
            </w:r>
          </w:p>
        </w:tc>
        <w:tc>
          <w:tcPr>
            <w:tcW w:w="0" w:type="auto"/>
          </w:tcPr>
          <w:p w14:paraId="7A915251" w14:textId="77777777" w:rsidR="0088481D" w:rsidRPr="00C316F8" w:rsidRDefault="0088481D" w:rsidP="003B711F">
            <w:pPr>
              <w:jc w:val="both"/>
              <w:rPr>
                <w:rFonts w:cstheme="minorHAnsi"/>
                <w:sz w:val="24"/>
                <w:szCs w:val="24"/>
              </w:rPr>
            </w:pPr>
            <w:r w:rsidRPr="00C316F8">
              <w:rPr>
                <w:rFonts w:cstheme="minorHAnsi"/>
                <w:sz w:val="24"/>
                <w:szCs w:val="24"/>
              </w:rPr>
              <w:t>-0.09</w:t>
            </w:r>
          </w:p>
        </w:tc>
        <w:tc>
          <w:tcPr>
            <w:tcW w:w="0" w:type="auto"/>
          </w:tcPr>
          <w:p w14:paraId="340FE53D" w14:textId="77777777" w:rsidR="0088481D" w:rsidRPr="00C316F8" w:rsidRDefault="0088481D" w:rsidP="003B711F">
            <w:pPr>
              <w:jc w:val="both"/>
              <w:rPr>
                <w:rFonts w:cstheme="minorHAnsi"/>
                <w:sz w:val="24"/>
                <w:szCs w:val="24"/>
              </w:rPr>
            </w:pPr>
            <w:r w:rsidRPr="00C316F8">
              <w:rPr>
                <w:rFonts w:cstheme="minorHAnsi"/>
                <w:sz w:val="24"/>
                <w:szCs w:val="24"/>
              </w:rPr>
              <w:t>0.33</w:t>
            </w:r>
          </w:p>
        </w:tc>
        <w:tc>
          <w:tcPr>
            <w:tcW w:w="0" w:type="auto"/>
          </w:tcPr>
          <w:p w14:paraId="60DA19B8" w14:textId="77777777" w:rsidR="0088481D" w:rsidRPr="00C316F8" w:rsidRDefault="0088481D" w:rsidP="003B711F">
            <w:pPr>
              <w:jc w:val="both"/>
              <w:rPr>
                <w:rFonts w:cstheme="minorHAnsi"/>
                <w:sz w:val="24"/>
                <w:szCs w:val="24"/>
              </w:rPr>
            </w:pPr>
            <w:r w:rsidRPr="00C316F8">
              <w:rPr>
                <w:rFonts w:cstheme="minorHAnsi"/>
                <w:sz w:val="24"/>
                <w:szCs w:val="24"/>
              </w:rPr>
              <w:t>0.26</w:t>
            </w:r>
          </w:p>
        </w:tc>
      </w:tr>
      <w:tr w:rsidR="0088481D" w:rsidRPr="00C316F8" w14:paraId="4093310E" w14:textId="77777777" w:rsidTr="001444F0">
        <w:tc>
          <w:tcPr>
            <w:tcW w:w="0" w:type="auto"/>
            <w:vMerge/>
          </w:tcPr>
          <w:p w14:paraId="30B8FAED" w14:textId="77777777" w:rsidR="0088481D" w:rsidRPr="00C316F8" w:rsidRDefault="0088481D" w:rsidP="003B711F">
            <w:pPr>
              <w:jc w:val="both"/>
              <w:rPr>
                <w:rFonts w:cstheme="minorHAnsi"/>
                <w:sz w:val="24"/>
                <w:szCs w:val="24"/>
              </w:rPr>
            </w:pPr>
          </w:p>
        </w:tc>
        <w:tc>
          <w:tcPr>
            <w:tcW w:w="0" w:type="auto"/>
          </w:tcPr>
          <w:p w14:paraId="437F2D04" w14:textId="77777777" w:rsidR="0088481D" w:rsidRPr="00C316F8" w:rsidRDefault="0088481D" w:rsidP="003B711F">
            <w:pPr>
              <w:jc w:val="both"/>
              <w:rPr>
                <w:rFonts w:cstheme="minorHAnsi"/>
                <w:sz w:val="24"/>
                <w:szCs w:val="24"/>
              </w:rPr>
            </w:pPr>
            <w:r w:rsidRPr="00C316F8">
              <w:rPr>
                <w:rFonts w:cstheme="minorHAnsi"/>
                <w:sz w:val="24"/>
                <w:szCs w:val="24"/>
              </w:rPr>
              <w:t>Informal employment</w:t>
            </w:r>
          </w:p>
        </w:tc>
        <w:tc>
          <w:tcPr>
            <w:tcW w:w="0" w:type="auto"/>
          </w:tcPr>
          <w:p w14:paraId="00EEC0E8" w14:textId="77777777" w:rsidR="0088481D" w:rsidRPr="00C316F8" w:rsidRDefault="0088481D" w:rsidP="003B711F">
            <w:pPr>
              <w:jc w:val="both"/>
              <w:rPr>
                <w:rFonts w:cstheme="minorHAnsi"/>
                <w:sz w:val="24"/>
                <w:szCs w:val="24"/>
              </w:rPr>
            </w:pPr>
            <w:r w:rsidRPr="00C316F8">
              <w:rPr>
                <w:rFonts w:cstheme="minorHAnsi"/>
                <w:sz w:val="24"/>
                <w:szCs w:val="24"/>
              </w:rPr>
              <w:t>0.17</w:t>
            </w:r>
          </w:p>
        </w:tc>
        <w:tc>
          <w:tcPr>
            <w:tcW w:w="0" w:type="auto"/>
          </w:tcPr>
          <w:p w14:paraId="626B3E93" w14:textId="77777777" w:rsidR="0088481D" w:rsidRPr="00C316F8" w:rsidRDefault="0088481D" w:rsidP="003B711F">
            <w:pPr>
              <w:jc w:val="both"/>
              <w:rPr>
                <w:rFonts w:cstheme="minorHAnsi"/>
                <w:sz w:val="24"/>
                <w:szCs w:val="24"/>
              </w:rPr>
            </w:pPr>
            <w:r w:rsidRPr="00C316F8">
              <w:rPr>
                <w:rFonts w:cstheme="minorHAnsi"/>
                <w:sz w:val="24"/>
                <w:szCs w:val="24"/>
              </w:rPr>
              <w:t>-0.04</w:t>
            </w:r>
          </w:p>
        </w:tc>
        <w:tc>
          <w:tcPr>
            <w:tcW w:w="0" w:type="auto"/>
          </w:tcPr>
          <w:p w14:paraId="474C7361" w14:textId="77777777" w:rsidR="0088481D" w:rsidRPr="00C316F8" w:rsidRDefault="0088481D" w:rsidP="003B711F">
            <w:pPr>
              <w:jc w:val="both"/>
              <w:rPr>
                <w:rFonts w:cstheme="minorHAnsi"/>
                <w:sz w:val="24"/>
                <w:szCs w:val="24"/>
              </w:rPr>
            </w:pPr>
            <w:r w:rsidRPr="00C316F8">
              <w:rPr>
                <w:rFonts w:cstheme="minorHAnsi"/>
                <w:sz w:val="24"/>
                <w:szCs w:val="24"/>
              </w:rPr>
              <w:t>0.38</w:t>
            </w:r>
          </w:p>
        </w:tc>
        <w:tc>
          <w:tcPr>
            <w:tcW w:w="0" w:type="auto"/>
          </w:tcPr>
          <w:p w14:paraId="5AF33DB5" w14:textId="77777777" w:rsidR="0088481D" w:rsidRPr="00C316F8" w:rsidRDefault="0088481D" w:rsidP="003B711F">
            <w:pPr>
              <w:jc w:val="both"/>
              <w:rPr>
                <w:rFonts w:cstheme="minorHAnsi"/>
                <w:sz w:val="24"/>
                <w:szCs w:val="24"/>
              </w:rPr>
            </w:pPr>
            <w:r w:rsidRPr="00C316F8">
              <w:rPr>
                <w:rFonts w:cstheme="minorHAnsi"/>
                <w:sz w:val="24"/>
                <w:szCs w:val="24"/>
              </w:rPr>
              <w:t>0.11</w:t>
            </w:r>
          </w:p>
        </w:tc>
      </w:tr>
      <w:tr w:rsidR="0088481D" w:rsidRPr="00C316F8" w14:paraId="48804A09" w14:textId="77777777" w:rsidTr="001444F0">
        <w:tc>
          <w:tcPr>
            <w:tcW w:w="0" w:type="auto"/>
            <w:vMerge w:val="restart"/>
          </w:tcPr>
          <w:p w14:paraId="69CDB9EE" w14:textId="77777777" w:rsidR="0088481D" w:rsidRPr="00C316F8" w:rsidRDefault="0088481D" w:rsidP="003B711F">
            <w:pPr>
              <w:jc w:val="both"/>
              <w:rPr>
                <w:rFonts w:cstheme="minorHAnsi"/>
                <w:sz w:val="24"/>
                <w:szCs w:val="24"/>
              </w:rPr>
            </w:pPr>
            <w:r w:rsidRPr="00C316F8">
              <w:rPr>
                <w:rFonts w:cstheme="minorHAnsi"/>
                <w:sz w:val="24"/>
                <w:szCs w:val="24"/>
              </w:rPr>
              <w:t>Health</w:t>
            </w:r>
          </w:p>
        </w:tc>
        <w:tc>
          <w:tcPr>
            <w:tcW w:w="0" w:type="auto"/>
          </w:tcPr>
          <w:p w14:paraId="1462C31E" w14:textId="77777777" w:rsidR="0088481D" w:rsidRPr="00C316F8" w:rsidRDefault="0088481D" w:rsidP="003B711F">
            <w:pPr>
              <w:jc w:val="both"/>
              <w:rPr>
                <w:rFonts w:cstheme="minorHAnsi"/>
                <w:sz w:val="24"/>
                <w:szCs w:val="24"/>
              </w:rPr>
            </w:pPr>
            <w:r w:rsidRPr="00C316F8">
              <w:rPr>
                <w:rFonts w:cstheme="minorHAnsi"/>
                <w:sz w:val="24"/>
                <w:szCs w:val="24"/>
              </w:rPr>
              <w:t>No Health insurance</w:t>
            </w:r>
          </w:p>
        </w:tc>
        <w:tc>
          <w:tcPr>
            <w:tcW w:w="0" w:type="auto"/>
          </w:tcPr>
          <w:p w14:paraId="2BE41FB4" w14:textId="77777777" w:rsidR="0088481D" w:rsidRPr="00C316F8" w:rsidRDefault="0088481D" w:rsidP="003B711F">
            <w:pPr>
              <w:jc w:val="both"/>
              <w:rPr>
                <w:rFonts w:cstheme="minorHAnsi"/>
                <w:sz w:val="24"/>
                <w:szCs w:val="24"/>
              </w:rPr>
            </w:pPr>
            <w:r w:rsidRPr="00C316F8">
              <w:rPr>
                <w:rFonts w:cstheme="minorHAnsi"/>
                <w:sz w:val="24"/>
                <w:szCs w:val="24"/>
              </w:rPr>
              <w:t>-0.08</w:t>
            </w:r>
          </w:p>
        </w:tc>
        <w:tc>
          <w:tcPr>
            <w:tcW w:w="0" w:type="auto"/>
          </w:tcPr>
          <w:p w14:paraId="69A11301" w14:textId="77777777" w:rsidR="0088481D" w:rsidRPr="00C316F8" w:rsidRDefault="0088481D" w:rsidP="003B711F">
            <w:pPr>
              <w:jc w:val="both"/>
              <w:rPr>
                <w:rFonts w:cstheme="minorHAnsi"/>
                <w:sz w:val="24"/>
                <w:szCs w:val="24"/>
              </w:rPr>
            </w:pPr>
            <w:r w:rsidRPr="00C316F8">
              <w:rPr>
                <w:rFonts w:cstheme="minorHAnsi"/>
                <w:sz w:val="24"/>
                <w:szCs w:val="24"/>
              </w:rPr>
              <w:t>-0.49</w:t>
            </w:r>
          </w:p>
        </w:tc>
        <w:tc>
          <w:tcPr>
            <w:tcW w:w="0" w:type="auto"/>
          </w:tcPr>
          <w:p w14:paraId="63630CAA" w14:textId="77777777" w:rsidR="0088481D" w:rsidRPr="00C316F8" w:rsidRDefault="0088481D" w:rsidP="003B711F">
            <w:pPr>
              <w:jc w:val="both"/>
              <w:rPr>
                <w:rFonts w:cstheme="minorHAnsi"/>
                <w:sz w:val="24"/>
                <w:szCs w:val="24"/>
              </w:rPr>
            </w:pPr>
            <w:r w:rsidRPr="00C316F8">
              <w:rPr>
                <w:rFonts w:cstheme="minorHAnsi"/>
                <w:sz w:val="24"/>
                <w:szCs w:val="24"/>
              </w:rPr>
              <w:t>0.32</w:t>
            </w:r>
          </w:p>
        </w:tc>
        <w:tc>
          <w:tcPr>
            <w:tcW w:w="0" w:type="auto"/>
          </w:tcPr>
          <w:p w14:paraId="69E9C6E6" w14:textId="77777777" w:rsidR="0088481D" w:rsidRPr="00C316F8" w:rsidRDefault="0088481D" w:rsidP="003B711F">
            <w:pPr>
              <w:jc w:val="both"/>
              <w:rPr>
                <w:rFonts w:cstheme="minorHAnsi"/>
                <w:sz w:val="24"/>
                <w:szCs w:val="24"/>
              </w:rPr>
            </w:pPr>
            <w:r w:rsidRPr="00C316F8">
              <w:rPr>
                <w:rFonts w:cstheme="minorHAnsi"/>
                <w:sz w:val="24"/>
                <w:szCs w:val="24"/>
              </w:rPr>
              <w:t>0.68</w:t>
            </w:r>
          </w:p>
        </w:tc>
      </w:tr>
      <w:tr w:rsidR="0088481D" w:rsidRPr="00C316F8" w14:paraId="68D84E23" w14:textId="77777777" w:rsidTr="001444F0">
        <w:tc>
          <w:tcPr>
            <w:tcW w:w="0" w:type="auto"/>
            <w:vMerge/>
          </w:tcPr>
          <w:p w14:paraId="7CA504FF" w14:textId="77777777" w:rsidR="0088481D" w:rsidRPr="00C316F8" w:rsidRDefault="0088481D" w:rsidP="003B711F">
            <w:pPr>
              <w:jc w:val="both"/>
              <w:rPr>
                <w:rFonts w:cstheme="minorHAnsi"/>
                <w:sz w:val="24"/>
                <w:szCs w:val="24"/>
              </w:rPr>
            </w:pPr>
          </w:p>
        </w:tc>
        <w:tc>
          <w:tcPr>
            <w:tcW w:w="0" w:type="auto"/>
          </w:tcPr>
          <w:p w14:paraId="61BDA0A6" w14:textId="77777777" w:rsidR="0088481D" w:rsidRPr="00C316F8" w:rsidRDefault="0088481D" w:rsidP="003B711F">
            <w:pPr>
              <w:jc w:val="both"/>
              <w:rPr>
                <w:rFonts w:cstheme="minorHAnsi"/>
                <w:sz w:val="24"/>
                <w:szCs w:val="24"/>
              </w:rPr>
            </w:pPr>
            <w:r w:rsidRPr="00C316F8">
              <w:rPr>
                <w:rFonts w:cstheme="minorHAnsi"/>
                <w:sz w:val="24"/>
                <w:szCs w:val="24"/>
              </w:rPr>
              <w:t>Barriers to access to health services</w:t>
            </w:r>
          </w:p>
        </w:tc>
        <w:tc>
          <w:tcPr>
            <w:tcW w:w="0" w:type="auto"/>
          </w:tcPr>
          <w:p w14:paraId="42C8DD71" w14:textId="77777777" w:rsidR="0088481D" w:rsidRPr="00C316F8" w:rsidRDefault="0088481D" w:rsidP="003B711F">
            <w:pPr>
              <w:jc w:val="both"/>
              <w:rPr>
                <w:rFonts w:cstheme="minorHAnsi"/>
                <w:sz w:val="24"/>
                <w:szCs w:val="24"/>
              </w:rPr>
            </w:pPr>
            <w:r w:rsidRPr="00C316F8">
              <w:rPr>
                <w:rFonts w:cstheme="minorHAnsi"/>
                <w:sz w:val="24"/>
                <w:szCs w:val="24"/>
              </w:rPr>
              <w:t>0.06</w:t>
            </w:r>
          </w:p>
        </w:tc>
        <w:tc>
          <w:tcPr>
            <w:tcW w:w="0" w:type="auto"/>
          </w:tcPr>
          <w:p w14:paraId="2EE4096D" w14:textId="77777777" w:rsidR="0088481D" w:rsidRPr="00C316F8" w:rsidRDefault="0088481D" w:rsidP="003B711F">
            <w:pPr>
              <w:jc w:val="both"/>
              <w:rPr>
                <w:rFonts w:cstheme="minorHAnsi"/>
                <w:sz w:val="24"/>
                <w:szCs w:val="24"/>
              </w:rPr>
            </w:pPr>
            <w:r w:rsidRPr="00C316F8">
              <w:rPr>
                <w:rFonts w:cstheme="minorHAnsi"/>
                <w:sz w:val="24"/>
                <w:szCs w:val="24"/>
              </w:rPr>
              <w:t>-0.23</w:t>
            </w:r>
          </w:p>
        </w:tc>
        <w:tc>
          <w:tcPr>
            <w:tcW w:w="0" w:type="auto"/>
          </w:tcPr>
          <w:p w14:paraId="7D4A581C" w14:textId="77777777" w:rsidR="0088481D" w:rsidRPr="00C316F8" w:rsidRDefault="0088481D" w:rsidP="003B711F">
            <w:pPr>
              <w:jc w:val="both"/>
              <w:rPr>
                <w:rFonts w:cstheme="minorHAnsi"/>
                <w:sz w:val="24"/>
                <w:szCs w:val="24"/>
              </w:rPr>
            </w:pPr>
            <w:r w:rsidRPr="00C316F8">
              <w:rPr>
                <w:rFonts w:cstheme="minorHAnsi"/>
                <w:sz w:val="24"/>
                <w:szCs w:val="24"/>
              </w:rPr>
              <w:t>0.35</w:t>
            </w:r>
          </w:p>
        </w:tc>
        <w:tc>
          <w:tcPr>
            <w:tcW w:w="0" w:type="auto"/>
          </w:tcPr>
          <w:p w14:paraId="28232F3F" w14:textId="77777777" w:rsidR="0088481D" w:rsidRPr="00C316F8" w:rsidRDefault="0088481D" w:rsidP="003B711F">
            <w:pPr>
              <w:jc w:val="both"/>
              <w:rPr>
                <w:rFonts w:cstheme="minorHAnsi"/>
                <w:sz w:val="24"/>
                <w:szCs w:val="24"/>
              </w:rPr>
            </w:pPr>
            <w:r w:rsidRPr="00C316F8">
              <w:rPr>
                <w:rFonts w:cstheme="minorHAnsi"/>
                <w:sz w:val="24"/>
                <w:szCs w:val="24"/>
              </w:rPr>
              <w:t>0.68</w:t>
            </w:r>
          </w:p>
        </w:tc>
      </w:tr>
      <w:tr w:rsidR="0088481D" w:rsidRPr="00C316F8" w14:paraId="62DFC3BB" w14:textId="77777777" w:rsidTr="001444F0">
        <w:tc>
          <w:tcPr>
            <w:tcW w:w="0" w:type="auto"/>
            <w:vMerge w:val="restart"/>
          </w:tcPr>
          <w:p w14:paraId="4D3A9524" w14:textId="77777777" w:rsidR="0088481D" w:rsidRPr="00C316F8" w:rsidRDefault="0088481D" w:rsidP="003B711F">
            <w:pPr>
              <w:jc w:val="both"/>
              <w:rPr>
                <w:rFonts w:cstheme="minorHAnsi"/>
                <w:sz w:val="24"/>
                <w:szCs w:val="24"/>
              </w:rPr>
            </w:pPr>
            <w:r w:rsidRPr="00C316F8">
              <w:rPr>
                <w:rFonts w:cstheme="minorHAnsi"/>
                <w:sz w:val="24"/>
                <w:szCs w:val="24"/>
              </w:rPr>
              <w:t>Access to public utilities and housing conditions</w:t>
            </w:r>
          </w:p>
        </w:tc>
        <w:tc>
          <w:tcPr>
            <w:tcW w:w="0" w:type="auto"/>
          </w:tcPr>
          <w:p w14:paraId="5B786CA7" w14:textId="77777777" w:rsidR="0088481D" w:rsidRPr="00C316F8" w:rsidRDefault="0088481D" w:rsidP="003B711F">
            <w:pPr>
              <w:jc w:val="both"/>
              <w:rPr>
                <w:rFonts w:cstheme="minorHAnsi"/>
                <w:sz w:val="24"/>
                <w:szCs w:val="24"/>
              </w:rPr>
            </w:pPr>
            <w:r w:rsidRPr="00C316F8">
              <w:rPr>
                <w:rFonts w:cstheme="minorHAnsi"/>
                <w:sz w:val="24"/>
                <w:szCs w:val="24"/>
              </w:rPr>
              <w:t>No Access to water source</w:t>
            </w:r>
          </w:p>
        </w:tc>
        <w:tc>
          <w:tcPr>
            <w:tcW w:w="0" w:type="auto"/>
          </w:tcPr>
          <w:p w14:paraId="35ED360F" w14:textId="77777777" w:rsidR="0088481D" w:rsidRPr="00C316F8" w:rsidRDefault="0088481D" w:rsidP="003B711F">
            <w:pPr>
              <w:jc w:val="both"/>
              <w:rPr>
                <w:rFonts w:cstheme="minorHAnsi"/>
                <w:sz w:val="24"/>
                <w:szCs w:val="24"/>
              </w:rPr>
            </w:pPr>
            <w:r w:rsidRPr="00C316F8">
              <w:rPr>
                <w:rFonts w:cstheme="minorHAnsi"/>
                <w:sz w:val="24"/>
                <w:szCs w:val="24"/>
              </w:rPr>
              <w:t>0.03</w:t>
            </w:r>
          </w:p>
        </w:tc>
        <w:tc>
          <w:tcPr>
            <w:tcW w:w="0" w:type="auto"/>
          </w:tcPr>
          <w:p w14:paraId="683FACCC" w14:textId="77777777" w:rsidR="0088481D" w:rsidRPr="00C316F8" w:rsidRDefault="0088481D" w:rsidP="003B711F">
            <w:pPr>
              <w:jc w:val="both"/>
              <w:rPr>
                <w:rFonts w:cstheme="minorHAnsi"/>
                <w:sz w:val="24"/>
                <w:szCs w:val="24"/>
              </w:rPr>
            </w:pPr>
            <w:r w:rsidRPr="00C316F8">
              <w:rPr>
                <w:rFonts w:cstheme="minorHAnsi"/>
                <w:sz w:val="24"/>
                <w:szCs w:val="24"/>
              </w:rPr>
              <w:t>-0.05</w:t>
            </w:r>
          </w:p>
        </w:tc>
        <w:tc>
          <w:tcPr>
            <w:tcW w:w="0" w:type="auto"/>
          </w:tcPr>
          <w:p w14:paraId="6DD4F5A8" w14:textId="77777777" w:rsidR="0088481D" w:rsidRPr="00C316F8" w:rsidRDefault="0088481D" w:rsidP="003B711F">
            <w:pPr>
              <w:jc w:val="both"/>
              <w:rPr>
                <w:rFonts w:cstheme="minorHAnsi"/>
                <w:sz w:val="24"/>
                <w:szCs w:val="24"/>
              </w:rPr>
            </w:pPr>
            <w:r w:rsidRPr="00C316F8">
              <w:rPr>
                <w:rFonts w:cstheme="minorHAnsi"/>
                <w:sz w:val="24"/>
                <w:szCs w:val="24"/>
              </w:rPr>
              <w:t>0.11</w:t>
            </w:r>
          </w:p>
        </w:tc>
        <w:tc>
          <w:tcPr>
            <w:tcW w:w="0" w:type="auto"/>
          </w:tcPr>
          <w:p w14:paraId="1DE12F49" w14:textId="77777777" w:rsidR="0088481D" w:rsidRPr="00C316F8" w:rsidRDefault="0088481D" w:rsidP="003B711F">
            <w:pPr>
              <w:jc w:val="both"/>
              <w:rPr>
                <w:rFonts w:cstheme="minorHAnsi"/>
                <w:sz w:val="24"/>
                <w:szCs w:val="24"/>
              </w:rPr>
            </w:pPr>
            <w:r w:rsidRPr="00C316F8">
              <w:rPr>
                <w:rFonts w:cstheme="minorHAnsi"/>
                <w:sz w:val="24"/>
                <w:szCs w:val="24"/>
              </w:rPr>
              <w:t>0.47</w:t>
            </w:r>
          </w:p>
        </w:tc>
      </w:tr>
      <w:tr w:rsidR="0088481D" w:rsidRPr="00C316F8" w14:paraId="2EABB641" w14:textId="77777777" w:rsidTr="001444F0">
        <w:tc>
          <w:tcPr>
            <w:tcW w:w="0" w:type="auto"/>
            <w:vMerge/>
          </w:tcPr>
          <w:p w14:paraId="3D64D053" w14:textId="77777777" w:rsidR="0088481D" w:rsidRPr="00C316F8" w:rsidRDefault="0088481D" w:rsidP="003B711F">
            <w:pPr>
              <w:jc w:val="both"/>
              <w:rPr>
                <w:rFonts w:cstheme="minorHAnsi"/>
                <w:sz w:val="24"/>
                <w:szCs w:val="24"/>
              </w:rPr>
            </w:pPr>
            <w:bookmarkStart w:id="58" w:name="_Hlk163923798"/>
          </w:p>
        </w:tc>
        <w:tc>
          <w:tcPr>
            <w:tcW w:w="0" w:type="auto"/>
          </w:tcPr>
          <w:p w14:paraId="5F98CF80" w14:textId="77777777" w:rsidR="0088481D" w:rsidRPr="00C316F8" w:rsidRDefault="0088481D" w:rsidP="003B711F">
            <w:pPr>
              <w:jc w:val="both"/>
              <w:rPr>
                <w:rFonts w:cstheme="minorHAnsi"/>
                <w:sz w:val="24"/>
                <w:szCs w:val="24"/>
              </w:rPr>
            </w:pPr>
            <w:r w:rsidRPr="00C316F8">
              <w:rPr>
                <w:rFonts w:cstheme="minorHAnsi"/>
                <w:sz w:val="24"/>
                <w:szCs w:val="24"/>
              </w:rPr>
              <w:t>Inadequate excreta disposal</w:t>
            </w:r>
          </w:p>
        </w:tc>
        <w:tc>
          <w:tcPr>
            <w:tcW w:w="0" w:type="auto"/>
          </w:tcPr>
          <w:p w14:paraId="045D490E" w14:textId="77777777" w:rsidR="0088481D" w:rsidRPr="00C316F8" w:rsidRDefault="0088481D" w:rsidP="003B711F">
            <w:pPr>
              <w:jc w:val="both"/>
              <w:rPr>
                <w:rFonts w:cstheme="minorHAnsi"/>
                <w:sz w:val="24"/>
                <w:szCs w:val="24"/>
              </w:rPr>
            </w:pPr>
            <w:r w:rsidRPr="00C316F8">
              <w:rPr>
                <w:rFonts w:cstheme="minorHAnsi"/>
                <w:sz w:val="24"/>
                <w:szCs w:val="24"/>
              </w:rPr>
              <w:t>-0.09</w:t>
            </w:r>
          </w:p>
        </w:tc>
        <w:tc>
          <w:tcPr>
            <w:tcW w:w="0" w:type="auto"/>
          </w:tcPr>
          <w:p w14:paraId="09C8529D" w14:textId="77777777" w:rsidR="0088481D" w:rsidRPr="00C316F8" w:rsidRDefault="0088481D" w:rsidP="003B711F">
            <w:pPr>
              <w:jc w:val="both"/>
              <w:rPr>
                <w:rFonts w:cstheme="minorHAnsi"/>
                <w:sz w:val="24"/>
                <w:szCs w:val="24"/>
              </w:rPr>
            </w:pPr>
            <w:r w:rsidRPr="00C316F8">
              <w:rPr>
                <w:rFonts w:cstheme="minorHAnsi"/>
                <w:sz w:val="24"/>
                <w:szCs w:val="24"/>
              </w:rPr>
              <w:t>-0.18</w:t>
            </w:r>
          </w:p>
        </w:tc>
        <w:tc>
          <w:tcPr>
            <w:tcW w:w="0" w:type="auto"/>
          </w:tcPr>
          <w:p w14:paraId="6516112C" w14:textId="77777777" w:rsidR="0088481D" w:rsidRPr="00C316F8" w:rsidRDefault="0088481D" w:rsidP="003B711F">
            <w:pPr>
              <w:jc w:val="both"/>
              <w:rPr>
                <w:rFonts w:cstheme="minorHAnsi"/>
                <w:sz w:val="24"/>
                <w:szCs w:val="24"/>
              </w:rPr>
            </w:pPr>
            <w:r w:rsidRPr="00C316F8">
              <w:rPr>
                <w:rFonts w:cstheme="minorHAnsi"/>
                <w:sz w:val="24"/>
                <w:szCs w:val="24"/>
              </w:rPr>
              <w:t>-0.01</w:t>
            </w:r>
          </w:p>
        </w:tc>
        <w:tc>
          <w:tcPr>
            <w:tcW w:w="0" w:type="auto"/>
          </w:tcPr>
          <w:p w14:paraId="1A9DB169" w14:textId="77777777" w:rsidR="0088481D" w:rsidRPr="00C316F8" w:rsidRDefault="0088481D" w:rsidP="003B711F">
            <w:pPr>
              <w:jc w:val="both"/>
              <w:rPr>
                <w:rFonts w:cstheme="minorHAnsi"/>
                <w:sz w:val="24"/>
                <w:szCs w:val="24"/>
              </w:rPr>
            </w:pPr>
            <w:r w:rsidRPr="00C316F8">
              <w:rPr>
                <w:rFonts w:cstheme="minorHAnsi"/>
                <w:sz w:val="24"/>
                <w:szCs w:val="24"/>
              </w:rPr>
              <w:t>0.02</w:t>
            </w:r>
          </w:p>
        </w:tc>
      </w:tr>
      <w:bookmarkEnd w:id="58"/>
      <w:tr w:rsidR="0088481D" w:rsidRPr="00C316F8" w14:paraId="0AD95CEF" w14:textId="77777777" w:rsidTr="001444F0">
        <w:tc>
          <w:tcPr>
            <w:tcW w:w="0" w:type="auto"/>
            <w:vMerge/>
          </w:tcPr>
          <w:p w14:paraId="0C7B9C6E" w14:textId="77777777" w:rsidR="0088481D" w:rsidRPr="00C316F8" w:rsidRDefault="0088481D" w:rsidP="003B711F">
            <w:pPr>
              <w:jc w:val="both"/>
              <w:rPr>
                <w:rFonts w:cstheme="minorHAnsi"/>
                <w:sz w:val="24"/>
                <w:szCs w:val="24"/>
              </w:rPr>
            </w:pPr>
          </w:p>
        </w:tc>
        <w:tc>
          <w:tcPr>
            <w:tcW w:w="0" w:type="auto"/>
          </w:tcPr>
          <w:p w14:paraId="7D2CE001" w14:textId="77777777" w:rsidR="0088481D" w:rsidRPr="00C316F8" w:rsidRDefault="0088481D" w:rsidP="003B711F">
            <w:pPr>
              <w:jc w:val="both"/>
              <w:rPr>
                <w:rFonts w:cstheme="minorHAnsi"/>
                <w:sz w:val="24"/>
                <w:szCs w:val="24"/>
              </w:rPr>
            </w:pPr>
            <w:r w:rsidRPr="00C316F8">
              <w:rPr>
                <w:rFonts w:cstheme="minorHAnsi"/>
                <w:sz w:val="24"/>
                <w:szCs w:val="24"/>
              </w:rPr>
              <w:t>Inadequate floor material</w:t>
            </w:r>
          </w:p>
        </w:tc>
        <w:tc>
          <w:tcPr>
            <w:tcW w:w="0" w:type="auto"/>
          </w:tcPr>
          <w:p w14:paraId="3D9A8179" w14:textId="77777777" w:rsidR="0088481D" w:rsidRPr="00C316F8" w:rsidRDefault="0088481D" w:rsidP="003B711F">
            <w:pPr>
              <w:jc w:val="both"/>
              <w:rPr>
                <w:rFonts w:cstheme="minorHAnsi"/>
                <w:sz w:val="24"/>
                <w:szCs w:val="24"/>
              </w:rPr>
            </w:pPr>
            <w:r w:rsidRPr="00C316F8">
              <w:rPr>
                <w:rFonts w:cstheme="minorHAnsi"/>
                <w:sz w:val="24"/>
                <w:szCs w:val="24"/>
              </w:rPr>
              <w:t>-0.06</w:t>
            </w:r>
          </w:p>
        </w:tc>
        <w:tc>
          <w:tcPr>
            <w:tcW w:w="0" w:type="auto"/>
          </w:tcPr>
          <w:p w14:paraId="6B65C337" w14:textId="77777777" w:rsidR="0088481D" w:rsidRPr="00C316F8" w:rsidRDefault="0088481D" w:rsidP="003B711F">
            <w:pPr>
              <w:jc w:val="both"/>
              <w:rPr>
                <w:rFonts w:cstheme="minorHAnsi"/>
                <w:sz w:val="24"/>
                <w:szCs w:val="24"/>
              </w:rPr>
            </w:pPr>
            <w:r w:rsidRPr="00C316F8">
              <w:rPr>
                <w:rFonts w:cstheme="minorHAnsi"/>
                <w:sz w:val="24"/>
                <w:szCs w:val="24"/>
              </w:rPr>
              <w:t>-0.14</w:t>
            </w:r>
          </w:p>
        </w:tc>
        <w:tc>
          <w:tcPr>
            <w:tcW w:w="0" w:type="auto"/>
          </w:tcPr>
          <w:p w14:paraId="39FF0107" w14:textId="77777777" w:rsidR="0088481D" w:rsidRPr="00C316F8" w:rsidRDefault="0088481D" w:rsidP="003B711F">
            <w:pPr>
              <w:jc w:val="both"/>
              <w:rPr>
                <w:rFonts w:cstheme="minorHAnsi"/>
                <w:sz w:val="24"/>
                <w:szCs w:val="24"/>
              </w:rPr>
            </w:pPr>
            <w:r w:rsidRPr="00C316F8">
              <w:rPr>
                <w:rFonts w:cstheme="minorHAnsi"/>
                <w:sz w:val="24"/>
                <w:szCs w:val="24"/>
              </w:rPr>
              <w:t>0.02</w:t>
            </w:r>
          </w:p>
        </w:tc>
        <w:tc>
          <w:tcPr>
            <w:tcW w:w="0" w:type="auto"/>
          </w:tcPr>
          <w:p w14:paraId="06D740B0" w14:textId="77777777" w:rsidR="0088481D" w:rsidRPr="00C316F8" w:rsidRDefault="0088481D" w:rsidP="003B711F">
            <w:pPr>
              <w:jc w:val="both"/>
              <w:rPr>
                <w:rFonts w:cstheme="minorHAnsi"/>
                <w:sz w:val="24"/>
                <w:szCs w:val="24"/>
              </w:rPr>
            </w:pPr>
            <w:r w:rsidRPr="00C316F8">
              <w:rPr>
                <w:rFonts w:cstheme="minorHAnsi"/>
                <w:sz w:val="24"/>
                <w:szCs w:val="24"/>
              </w:rPr>
              <w:t>0.14</w:t>
            </w:r>
          </w:p>
        </w:tc>
      </w:tr>
      <w:tr w:rsidR="0088481D" w:rsidRPr="00C316F8" w14:paraId="3A488456" w14:textId="77777777" w:rsidTr="001444F0">
        <w:tc>
          <w:tcPr>
            <w:tcW w:w="0" w:type="auto"/>
            <w:vMerge/>
          </w:tcPr>
          <w:p w14:paraId="4FCEEAC1" w14:textId="77777777" w:rsidR="0088481D" w:rsidRPr="00C316F8" w:rsidRDefault="0088481D" w:rsidP="003B711F">
            <w:pPr>
              <w:jc w:val="both"/>
              <w:rPr>
                <w:rFonts w:cstheme="minorHAnsi"/>
                <w:sz w:val="24"/>
                <w:szCs w:val="24"/>
              </w:rPr>
            </w:pPr>
          </w:p>
        </w:tc>
        <w:tc>
          <w:tcPr>
            <w:tcW w:w="0" w:type="auto"/>
          </w:tcPr>
          <w:p w14:paraId="5010D537" w14:textId="77777777" w:rsidR="0088481D" w:rsidRPr="00C316F8" w:rsidRDefault="0088481D" w:rsidP="003B711F">
            <w:pPr>
              <w:jc w:val="both"/>
              <w:rPr>
                <w:rFonts w:cstheme="minorHAnsi"/>
                <w:sz w:val="24"/>
                <w:szCs w:val="24"/>
              </w:rPr>
            </w:pPr>
            <w:r w:rsidRPr="00C316F8">
              <w:rPr>
                <w:rFonts w:cstheme="minorHAnsi"/>
                <w:sz w:val="24"/>
                <w:szCs w:val="24"/>
              </w:rPr>
              <w:t>Inadequate wall material</w:t>
            </w:r>
          </w:p>
        </w:tc>
        <w:tc>
          <w:tcPr>
            <w:tcW w:w="0" w:type="auto"/>
          </w:tcPr>
          <w:p w14:paraId="30D0766C" w14:textId="77777777" w:rsidR="0088481D" w:rsidRPr="00C316F8" w:rsidRDefault="0088481D" w:rsidP="003B711F">
            <w:pPr>
              <w:jc w:val="both"/>
              <w:rPr>
                <w:rFonts w:cstheme="minorHAnsi"/>
                <w:sz w:val="24"/>
                <w:szCs w:val="24"/>
              </w:rPr>
            </w:pPr>
            <w:r w:rsidRPr="00C316F8">
              <w:rPr>
                <w:rFonts w:cstheme="minorHAnsi"/>
                <w:sz w:val="24"/>
                <w:szCs w:val="24"/>
              </w:rPr>
              <w:t>-0.08</w:t>
            </w:r>
          </w:p>
        </w:tc>
        <w:tc>
          <w:tcPr>
            <w:tcW w:w="0" w:type="auto"/>
          </w:tcPr>
          <w:p w14:paraId="485BE619" w14:textId="77777777" w:rsidR="0088481D" w:rsidRPr="00C316F8" w:rsidRDefault="0088481D" w:rsidP="003B711F">
            <w:pPr>
              <w:jc w:val="both"/>
              <w:rPr>
                <w:rFonts w:cstheme="minorHAnsi"/>
                <w:sz w:val="24"/>
                <w:szCs w:val="24"/>
              </w:rPr>
            </w:pPr>
            <w:r w:rsidRPr="00C316F8">
              <w:rPr>
                <w:rFonts w:cstheme="minorHAnsi"/>
                <w:sz w:val="24"/>
                <w:szCs w:val="24"/>
              </w:rPr>
              <w:t>-0.25</w:t>
            </w:r>
          </w:p>
        </w:tc>
        <w:tc>
          <w:tcPr>
            <w:tcW w:w="0" w:type="auto"/>
          </w:tcPr>
          <w:p w14:paraId="08973742" w14:textId="77777777" w:rsidR="0088481D" w:rsidRPr="00C316F8" w:rsidRDefault="0088481D" w:rsidP="003B711F">
            <w:pPr>
              <w:jc w:val="both"/>
              <w:rPr>
                <w:rFonts w:cstheme="minorHAnsi"/>
                <w:sz w:val="24"/>
                <w:szCs w:val="24"/>
              </w:rPr>
            </w:pPr>
            <w:r w:rsidRPr="00C316F8">
              <w:rPr>
                <w:rFonts w:cstheme="minorHAnsi"/>
                <w:sz w:val="24"/>
                <w:szCs w:val="24"/>
              </w:rPr>
              <w:t>0.09</w:t>
            </w:r>
          </w:p>
        </w:tc>
        <w:tc>
          <w:tcPr>
            <w:tcW w:w="0" w:type="auto"/>
          </w:tcPr>
          <w:p w14:paraId="2C2FA137" w14:textId="77777777" w:rsidR="0088481D" w:rsidRPr="00C316F8" w:rsidRDefault="0088481D" w:rsidP="003B711F">
            <w:pPr>
              <w:jc w:val="both"/>
              <w:rPr>
                <w:rFonts w:cstheme="minorHAnsi"/>
                <w:sz w:val="24"/>
                <w:szCs w:val="24"/>
              </w:rPr>
            </w:pPr>
            <w:r w:rsidRPr="00C316F8">
              <w:rPr>
                <w:rFonts w:cstheme="minorHAnsi"/>
                <w:sz w:val="24"/>
                <w:szCs w:val="24"/>
              </w:rPr>
              <w:t>0.35</w:t>
            </w:r>
          </w:p>
        </w:tc>
      </w:tr>
      <w:tr w:rsidR="0088481D" w:rsidRPr="00C316F8" w14:paraId="1158958E" w14:textId="77777777" w:rsidTr="001444F0">
        <w:tc>
          <w:tcPr>
            <w:tcW w:w="0" w:type="auto"/>
            <w:vMerge/>
          </w:tcPr>
          <w:p w14:paraId="0B09AA6B" w14:textId="77777777" w:rsidR="0088481D" w:rsidRPr="00C316F8" w:rsidRDefault="0088481D" w:rsidP="003B711F">
            <w:pPr>
              <w:jc w:val="both"/>
              <w:rPr>
                <w:rFonts w:cstheme="minorHAnsi"/>
                <w:sz w:val="24"/>
                <w:szCs w:val="24"/>
              </w:rPr>
            </w:pPr>
          </w:p>
        </w:tc>
        <w:tc>
          <w:tcPr>
            <w:tcW w:w="0" w:type="auto"/>
          </w:tcPr>
          <w:p w14:paraId="0CDB6FD0" w14:textId="77777777" w:rsidR="0088481D" w:rsidRPr="00C316F8" w:rsidRDefault="0088481D" w:rsidP="003B711F">
            <w:pPr>
              <w:jc w:val="both"/>
              <w:rPr>
                <w:rFonts w:cstheme="minorHAnsi"/>
                <w:sz w:val="24"/>
                <w:szCs w:val="24"/>
              </w:rPr>
            </w:pPr>
            <w:r w:rsidRPr="00C316F8">
              <w:rPr>
                <w:rFonts w:cstheme="minorHAnsi"/>
                <w:sz w:val="24"/>
                <w:szCs w:val="24"/>
              </w:rPr>
              <w:t>Critical overcrowding</w:t>
            </w:r>
          </w:p>
        </w:tc>
        <w:tc>
          <w:tcPr>
            <w:tcW w:w="0" w:type="auto"/>
          </w:tcPr>
          <w:p w14:paraId="595D4718" w14:textId="77777777" w:rsidR="0088481D" w:rsidRPr="00C316F8" w:rsidRDefault="0088481D" w:rsidP="003B711F">
            <w:pPr>
              <w:jc w:val="both"/>
              <w:rPr>
                <w:rFonts w:cstheme="minorHAnsi"/>
                <w:sz w:val="24"/>
                <w:szCs w:val="24"/>
              </w:rPr>
            </w:pPr>
            <w:r w:rsidRPr="00C316F8">
              <w:rPr>
                <w:rFonts w:cstheme="minorHAnsi"/>
                <w:sz w:val="24"/>
                <w:szCs w:val="24"/>
              </w:rPr>
              <w:t>-0.09</w:t>
            </w:r>
          </w:p>
        </w:tc>
        <w:tc>
          <w:tcPr>
            <w:tcW w:w="0" w:type="auto"/>
          </w:tcPr>
          <w:p w14:paraId="6A7D36F6" w14:textId="77777777" w:rsidR="0088481D" w:rsidRPr="00C316F8" w:rsidRDefault="0088481D" w:rsidP="003B711F">
            <w:pPr>
              <w:jc w:val="both"/>
              <w:rPr>
                <w:rFonts w:cstheme="minorHAnsi"/>
                <w:sz w:val="24"/>
                <w:szCs w:val="24"/>
              </w:rPr>
            </w:pPr>
            <w:r w:rsidRPr="00C316F8">
              <w:rPr>
                <w:rFonts w:cstheme="minorHAnsi"/>
                <w:sz w:val="24"/>
                <w:szCs w:val="24"/>
              </w:rPr>
              <w:t>-0.33</w:t>
            </w:r>
          </w:p>
        </w:tc>
        <w:tc>
          <w:tcPr>
            <w:tcW w:w="0" w:type="auto"/>
          </w:tcPr>
          <w:p w14:paraId="60B27400" w14:textId="77777777" w:rsidR="0088481D" w:rsidRPr="00C316F8" w:rsidRDefault="0088481D" w:rsidP="003B711F">
            <w:pPr>
              <w:jc w:val="both"/>
              <w:rPr>
                <w:rFonts w:cstheme="minorHAnsi"/>
                <w:sz w:val="24"/>
                <w:szCs w:val="24"/>
              </w:rPr>
            </w:pPr>
            <w:r w:rsidRPr="00C316F8">
              <w:rPr>
                <w:rFonts w:cstheme="minorHAnsi"/>
                <w:sz w:val="24"/>
                <w:szCs w:val="24"/>
              </w:rPr>
              <w:t>0.13</w:t>
            </w:r>
          </w:p>
        </w:tc>
        <w:tc>
          <w:tcPr>
            <w:tcW w:w="0" w:type="auto"/>
          </w:tcPr>
          <w:p w14:paraId="39190EC6" w14:textId="77777777" w:rsidR="0088481D" w:rsidRPr="00C316F8" w:rsidRDefault="0088481D" w:rsidP="003B711F">
            <w:pPr>
              <w:jc w:val="both"/>
              <w:rPr>
                <w:rFonts w:cstheme="minorHAnsi"/>
                <w:sz w:val="24"/>
                <w:szCs w:val="24"/>
              </w:rPr>
            </w:pPr>
            <w:r w:rsidRPr="00C316F8">
              <w:rPr>
                <w:rFonts w:cstheme="minorHAnsi"/>
                <w:sz w:val="24"/>
                <w:szCs w:val="24"/>
              </w:rPr>
              <w:t>0.42</w:t>
            </w:r>
          </w:p>
        </w:tc>
      </w:tr>
    </w:tbl>
    <w:p w14:paraId="261F9707" w14:textId="77777777" w:rsidR="00666125" w:rsidRPr="00C316F8" w:rsidRDefault="00666125" w:rsidP="00666125">
      <w:pPr>
        <w:jc w:val="both"/>
        <w:rPr>
          <w:rFonts w:eastAsia="Calibri" w:cstheme="minorHAnsi"/>
          <w:sz w:val="24"/>
          <w:szCs w:val="24"/>
          <w:lang w:val="es-CO"/>
        </w:rPr>
      </w:pPr>
      <w:r w:rsidRPr="00C316F8">
        <w:rPr>
          <w:rFonts w:eastAsia="Calibri" w:cstheme="minorHAnsi"/>
          <w:sz w:val="24"/>
          <w:szCs w:val="24"/>
          <w:lang w:val="es-CO"/>
        </w:rPr>
        <w:t>Fuente, elaboración propia.</w:t>
      </w:r>
    </w:p>
    <w:p w14:paraId="0E6E10FA" w14:textId="77777777" w:rsidR="0088481D" w:rsidRPr="00C316F8" w:rsidRDefault="0088481D" w:rsidP="003B711F">
      <w:pPr>
        <w:jc w:val="both"/>
        <w:rPr>
          <w:rFonts w:cstheme="minorHAnsi"/>
          <w:sz w:val="24"/>
          <w:szCs w:val="24"/>
        </w:rPr>
      </w:pPr>
    </w:p>
    <w:p w14:paraId="70192FB4" w14:textId="2207C438" w:rsidR="00C04A8D" w:rsidRPr="00C316F8" w:rsidRDefault="003D695D" w:rsidP="00C2638F">
      <w:pPr>
        <w:pStyle w:val="Ttulo1"/>
      </w:pPr>
      <w:bookmarkStart w:id="59" w:name="_Toc229834663"/>
      <w:r w:rsidRPr="00C316F8">
        <w:t>6</w:t>
      </w:r>
      <w:r w:rsidR="00C2638F" w:rsidRPr="00C316F8">
        <w:t>.6</w:t>
      </w:r>
      <w:r w:rsidR="00C2638F" w:rsidRPr="00C316F8">
        <w:tab/>
      </w:r>
      <w:r w:rsidR="00CF3C14" w:rsidRPr="00C316F8">
        <w:t>DISCUSION</w:t>
      </w:r>
      <w:bookmarkEnd w:id="59"/>
    </w:p>
    <w:p w14:paraId="69F1E062" w14:textId="77777777" w:rsidR="00C2638F" w:rsidRPr="00C316F8" w:rsidRDefault="00C2638F" w:rsidP="00C2638F"/>
    <w:p w14:paraId="0E207F1D" w14:textId="7B557DBF" w:rsidR="008F0746" w:rsidRPr="00C316F8" w:rsidRDefault="007F13B2" w:rsidP="003B711F">
      <w:pPr>
        <w:jc w:val="both"/>
        <w:rPr>
          <w:rFonts w:cstheme="minorHAnsi"/>
          <w:sz w:val="24"/>
          <w:szCs w:val="24"/>
          <w:lang w:val="es-CO"/>
        </w:rPr>
      </w:pPr>
      <w:r w:rsidRPr="00C316F8">
        <w:rPr>
          <w:rFonts w:cstheme="minorHAnsi"/>
          <w:sz w:val="24"/>
          <w:szCs w:val="24"/>
          <w:lang w:val="es-CO"/>
        </w:rPr>
        <w:t>Durante la pandemia de COVID-19, diversas variables del CMPI se vieron afectadas. En respuesta, Colombia implementó una serie de medidas para contener la propagación del virus y proteger a su población. Estas medidas incluyeron políticas de transferencias monetarias, aislamiento social, uso obligatorio de mascarillas en espacios públicos, suspensión de clases presenciales en los establecimientos educativos y promoción de la vacunación masiva, entre otras</w:t>
      </w:r>
      <w:r w:rsidR="00C04A8D" w:rsidRPr="00C316F8">
        <w:rPr>
          <w:rFonts w:cstheme="minorHAnsi"/>
          <w:sz w:val="24"/>
          <w:szCs w:val="24"/>
          <w:lang w:val="es-CO"/>
        </w:rPr>
        <w:t xml:space="preserve"> </w:t>
      </w:r>
      <w:r w:rsidR="00C04A8D"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{"citationID":"S4A5WrGK","properties":{"formattedCitation":"(79)","plainCitation":"(79)","noteIndex":0},"citationItems":[{"id":1587,"uris":["http://zotero.org/users/5785509/items/2DFS3KVT"],"itemData":{"id":1587,"type":"article-journal","container-title":"Health Policy and Technology","DOI":"10.1016/j.hlpt.2022.100621","ISSN":"22118837","issue":"2","journalAbbreviation":"Health Policy and Technology","language":"en","page":"100621","source":"DOI.org (Crossref)","title":"COVID-19 response in Colombia: Hits and misses","title-short":"COVID-19 response in Colombia","URL":"https://linkinghub.elsevier.com/retrieve/pii/S2211883722000272","volume":"11","author":[{"family":"Prada","given":"Sergio I."},{"family":"Garcia-Garcia","given":"Maria Paula"},{"family":"Guzman","given":"Javier"}],"accessed":{"date-parts":[["2024",7,27]]},"issued":{"date-parts":[["2022",6]]}}}],"schema":"https://github.com/citation-style-language/schema/raw/master/csl-citation.json"} </w:instrText>
      </w:r>
      <w:r w:rsidR="00C04A8D" w:rsidRPr="00C316F8">
        <w:rPr>
          <w:rFonts w:cstheme="minorHAnsi"/>
          <w:sz w:val="24"/>
          <w:szCs w:val="24"/>
        </w:rPr>
        <w:fldChar w:fldCharType="separate"/>
      </w:r>
      <w:r w:rsidR="002063BA" w:rsidRPr="00C316F8">
        <w:rPr>
          <w:rFonts w:ascii="Calibri" w:hAnsi="Calibri" w:cs="Calibri"/>
          <w:sz w:val="24"/>
          <w:lang w:val="es-CO"/>
        </w:rPr>
        <w:t>(79)</w:t>
      </w:r>
      <w:r w:rsidR="00C04A8D" w:rsidRPr="00C316F8">
        <w:rPr>
          <w:rFonts w:cstheme="minorHAnsi"/>
          <w:sz w:val="24"/>
          <w:szCs w:val="24"/>
        </w:rPr>
        <w:fldChar w:fldCharType="end"/>
      </w:r>
      <w:r w:rsidR="00C04A8D" w:rsidRPr="00C316F8">
        <w:rPr>
          <w:rFonts w:cstheme="minorHAnsi"/>
          <w:sz w:val="24"/>
          <w:szCs w:val="24"/>
          <w:lang w:val="es-CO"/>
        </w:rPr>
        <w:t xml:space="preserve">. </w:t>
      </w:r>
      <w:r w:rsidR="0081798C" w:rsidRPr="00C316F8">
        <w:rPr>
          <w:rFonts w:cstheme="minorHAnsi"/>
          <w:sz w:val="24"/>
          <w:szCs w:val="24"/>
          <w:lang w:val="es-CO"/>
        </w:rPr>
        <w:t>A medida que se implementaron las intervenciones sociales y las campañas de vacunación, las tasas de mortalidad mejoraron progresivamente.</w:t>
      </w:r>
      <w:r w:rsidR="0081798C" w:rsidRPr="00C316F8">
        <w:rPr>
          <w:rFonts w:cstheme="minorHAnsi"/>
          <w:sz w:val="24"/>
          <w:szCs w:val="24"/>
          <w:lang w:val="es-CO"/>
        </w:rPr>
        <w:br/>
      </w:r>
      <w:r w:rsidR="0081798C" w:rsidRPr="00C316F8">
        <w:rPr>
          <w:rFonts w:cstheme="minorHAnsi"/>
          <w:sz w:val="24"/>
          <w:szCs w:val="24"/>
          <w:lang w:val="es-CO"/>
        </w:rPr>
        <w:lastRenderedPageBreak/>
        <w:t xml:space="preserve">Un hallazgo crucial es que, aunque los casos de la pandemia han disminuido con los años, aún queda mucho por hacer. Los municipios de categorías 5 y 6 presentaron el mayor número de conglomerados con altas tasas de mortalidad y altos valores del </w:t>
      </w:r>
      <w:r w:rsidR="0081798C" w:rsidRPr="00C316F8">
        <w:rPr>
          <w:rStyle w:val="Textoennegrita"/>
          <w:rFonts w:cstheme="minorHAnsi"/>
          <w:b w:val="0"/>
          <w:bCs w:val="0"/>
          <w:sz w:val="24"/>
          <w:szCs w:val="24"/>
          <w:lang w:val="es-CO"/>
        </w:rPr>
        <w:t>CMPI</w:t>
      </w:r>
      <w:r w:rsidR="0081798C" w:rsidRPr="00C316F8">
        <w:rPr>
          <w:rFonts w:cstheme="minorHAnsi"/>
          <w:sz w:val="24"/>
          <w:szCs w:val="24"/>
          <w:lang w:val="es-CO"/>
        </w:rPr>
        <w:t xml:space="preserve"> durante los años estudiados. Estos municipios cuentan con la menor población, reciben las menores asignaciones de ingresos corrientes libres de destinación por parte de la nación y presentan una infraestructura en salud más débil.</w:t>
      </w:r>
    </w:p>
    <w:p w14:paraId="20E25E62" w14:textId="1B5E645B" w:rsidR="00197CE9" w:rsidRPr="00C316F8" w:rsidRDefault="0081798C" w:rsidP="003B711F">
      <w:pPr>
        <w:jc w:val="both"/>
        <w:rPr>
          <w:rFonts w:cstheme="minorHAnsi"/>
          <w:sz w:val="24"/>
          <w:szCs w:val="24"/>
          <w:lang w:val="es-CO"/>
        </w:rPr>
      </w:pPr>
      <w:r w:rsidRPr="00C316F8">
        <w:rPr>
          <w:rFonts w:cstheme="minorHAnsi"/>
          <w:sz w:val="24"/>
          <w:szCs w:val="24"/>
          <w:lang w:val="es-CO"/>
        </w:rPr>
        <w:t xml:space="preserve">La pobreza no se refiere únicamente a la falta de ingresos o recursos, sino también a la carencia de acceso a servicios básicos como la educación, el empleo, la salud y la vivienda. En este contexto, la eliminación de la pobreza constituye un paso esencial hacia el desarrollo sostenible </w:t>
      </w:r>
      <w:r w:rsidR="00C04A8D" w:rsidRPr="00C316F8">
        <w:rPr>
          <w:rFonts w:cstheme="minorHAnsi"/>
          <w:sz w:val="24"/>
          <w:szCs w:val="24"/>
        </w:rPr>
        <w:fldChar w:fldCharType="begin"/>
      </w:r>
      <w:r w:rsidR="00961D28" w:rsidRPr="00C316F8">
        <w:rPr>
          <w:rFonts w:cstheme="minorHAnsi"/>
          <w:sz w:val="24"/>
          <w:szCs w:val="24"/>
          <w:lang w:val="es-CO"/>
        </w:rPr>
        <w:instrText xml:space="preserve"> ADDIN ZOTERO_ITEM CSL_CITATION {"citationID":"qwb2Qb71","properties":{"formattedCitation":"(91)","plainCitation":"(91)","noteIndex":0},"citationItems":[{"id":1493,"uris":["http://zotero.org/users/5785509/items/UJJ4QTLL"],"itemData":{"id":1493,"type":"webpage","title":"Home - United Nations Sustainable Development","URL":"https://www.un.org/sustainabledevelopment/","accessed":{"date-parts":[["2024",4,13]]}}}],"schema":"https://github.com/citation-style-language/schema/raw/master/csl-citation.json"} </w:instrText>
      </w:r>
      <w:r w:rsidR="00C04A8D" w:rsidRPr="00C316F8">
        <w:rPr>
          <w:rFonts w:cstheme="minorHAnsi"/>
          <w:sz w:val="24"/>
          <w:szCs w:val="24"/>
        </w:rPr>
        <w:fldChar w:fldCharType="separate"/>
      </w:r>
      <w:r w:rsidR="00BB03C0" w:rsidRPr="00C316F8">
        <w:rPr>
          <w:rFonts w:ascii="Calibri" w:hAnsi="Calibri" w:cs="Calibri"/>
          <w:sz w:val="24"/>
          <w:lang w:val="es-CO"/>
        </w:rPr>
        <w:t>(91)</w:t>
      </w:r>
      <w:r w:rsidR="00C04A8D" w:rsidRPr="00C316F8">
        <w:rPr>
          <w:rFonts w:cstheme="minorHAnsi"/>
          <w:sz w:val="24"/>
          <w:szCs w:val="24"/>
        </w:rPr>
        <w:fldChar w:fldCharType="end"/>
      </w:r>
      <w:r w:rsidR="00C04A8D" w:rsidRPr="00C316F8">
        <w:rPr>
          <w:rFonts w:cstheme="minorHAnsi"/>
          <w:sz w:val="24"/>
          <w:szCs w:val="24"/>
          <w:lang w:val="es-CO"/>
        </w:rPr>
        <w:t xml:space="preserve">. </w:t>
      </w:r>
      <w:r w:rsidR="001C79C3" w:rsidRPr="00C316F8">
        <w:rPr>
          <w:rFonts w:cstheme="minorHAnsi"/>
          <w:sz w:val="24"/>
          <w:szCs w:val="24"/>
          <w:lang w:val="es-CO"/>
        </w:rPr>
        <w:t>L</w:t>
      </w:r>
      <w:r w:rsidR="00197CE9" w:rsidRPr="00C316F8">
        <w:rPr>
          <w:rFonts w:cstheme="minorHAnsi"/>
          <w:sz w:val="24"/>
          <w:szCs w:val="24"/>
          <w:lang w:val="es-CO"/>
        </w:rPr>
        <w:t>as variables del CMPI que se asociaron con las tasas de mortalidad por COVID-19 entre 2020 y 2022 permiten identificar áreas susceptibles de intervención para corregir sus deficiencias y, en consecuencia, reducir la pobreza.</w:t>
      </w:r>
    </w:p>
    <w:p w14:paraId="1BBEE8EF" w14:textId="77777777" w:rsidR="00197CE9" w:rsidRPr="00C316F8" w:rsidRDefault="00197CE9" w:rsidP="003B711F">
      <w:pPr>
        <w:jc w:val="both"/>
        <w:rPr>
          <w:rFonts w:cstheme="minorHAnsi"/>
          <w:sz w:val="24"/>
          <w:szCs w:val="24"/>
          <w:lang w:val="es-CO"/>
        </w:rPr>
      </w:pPr>
      <w:r w:rsidRPr="00C316F8">
        <w:rPr>
          <w:rFonts w:cstheme="minorHAnsi"/>
          <w:sz w:val="24"/>
          <w:szCs w:val="24"/>
          <w:lang w:val="es-CO"/>
        </w:rPr>
        <w:t>El análisis muestra que, a lo largo de los tres años (2020–2022), una gran proporción de municipios se ubicó en la categoría de “No Significativo”, lo que indica que no presentaron un patrón claro de conglomeración espacial en la mortalidad por COVID-19, a pesar de la autocorrelación espacial global detectada (valores significativos del índice de Moran en todos los años). Esto sugiere que, aunque existe cierta autocorrelación en el conjunto de datos, muchos municipios no presentan un patrón de mortalidad significativamente relacionado con sus municipios vecinos. Esta situación podría deberse a factores locales únicos dentro de cada municipio, como variaciones en la infraestructura sanitaria, restricciones presupuestarias, políticas locales frente a la pandemia, presencia de conflicto armado o limitaciones de movilidad entre municipios.</w:t>
      </w:r>
    </w:p>
    <w:p w14:paraId="04F78F8F" w14:textId="77777777" w:rsidR="00197CE9" w:rsidRPr="00C316F8" w:rsidRDefault="00197CE9" w:rsidP="003B711F">
      <w:pPr>
        <w:jc w:val="both"/>
        <w:rPr>
          <w:rFonts w:cstheme="minorHAnsi"/>
          <w:sz w:val="24"/>
          <w:szCs w:val="24"/>
          <w:lang w:val="es-CO"/>
        </w:rPr>
      </w:pPr>
      <w:r w:rsidRPr="00C316F8">
        <w:rPr>
          <w:rFonts w:cstheme="minorHAnsi"/>
          <w:sz w:val="24"/>
          <w:szCs w:val="24"/>
          <w:lang w:val="es-CO"/>
        </w:rPr>
        <w:t>Las áreas HH probablemente representan focos críticos que requieren atención prioritaria para reducir la vulnerabilidad derivada de la combinación de altos niveles de pobreza y elevadas tasas de mortalidad. Por el contrario, las áreas LL, caracterizadas por bajos índices de pobreza y mortalidad, pueden reflejar un mejor acceso a servicios de salud o factores de protección que han mitigado la mortalidad por COVID-19, constituyendo un aspecto positivo dentro de la correlación espacial.</w:t>
      </w:r>
    </w:p>
    <w:p w14:paraId="618F7FF6" w14:textId="77777777" w:rsidR="00197CE9" w:rsidRPr="00C316F8" w:rsidRDefault="00197CE9" w:rsidP="003B711F">
      <w:pPr>
        <w:jc w:val="both"/>
        <w:rPr>
          <w:rFonts w:cstheme="minorHAnsi"/>
          <w:sz w:val="24"/>
          <w:szCs w:val="24"/>
          <w:lang w:val="es-CO"/>
        </w:rPr>
      </w:pPr>
      <w:r w:rsidRPr="00C316F8">
        <w:rPr>
          <w:rFonts w:cstheme="minorHAnsi"/>
          <w:sz w:val="24"/>
          <w:szCs w:val="24"/>
          <w:lang w:val="es-CO"/>
        </w:rPr>
        <w:t xml:space="preserve">En cuanto a las áreas HL, este patrón de correlación negativa sugiere que, a pesar de los altos niveles de pobreza, estas regiones han mantenido tasas de mortalidad relativamente bajas, lo que podría indicar la efectividad de intervenciones en salud pública o la presencia de factores protectores específicos que mitigan el impacto de la pobreza en la mortalidad. Esto representa un campo relevante de investigación para identificar los mecanismos que están funcionando eficazmente en estos contextos. Finalmente, las áreas LH demuestran una correlación negativa en la que los bajos niveles de pobreza se asocian con altas tasas de mortalidad. Este hallazgo sugiere posibles brechas en el acceso a la salud o factores de riesgo específicos asociados a la mortalidad por COVID-19, lo que resalta la necesidad de </w:t>
      </w:r>
      <w:r w:rsidRPr="00C316F8">
        <w:rPr>
          <w:rFonts w:cstheme="minorHAnsi"/>
          <w:sz w:val="24"/>
          <w:szCs w:val="24"/>
          <w:lang w:val="es-CO"/>
        </w:rPr>
        <w:lastRenderedPageBreak/>
        <w:t>intervenciones dirigidas, ya que estas áreas no parecen beneficiarse de sus condiciones económicas favorables en términos de reducción de la mortalidad.</w:t>
      </w:r>
    </w:p>
    <w:p w14:paraId="29BEA94A" w14:textId="77777777" w:rsidR="00197CE9" w:rsidRPr="00C316F8" w:rsidRDefault="00197CE9" w:rsidP="003B711F">
      <w:pPr>
        <w:jc w:val="both"/>
        <w:rPr>
          <w:rFonts w:cstheme="minorHAnsi"/>
          <w:sz w:val="24"/>
          <w:szCs w:val="24"/>
          <w:lang w:val="es-CO"/>
        </w:rPr>
      </w:pPr>
      <w:r w:rsidRPr="00C316F8">
        <w:rPr>
          <w:rFonts w:cstheme="minorHAnsi"/>
          <w:sz w:val="24"/>
          <w:szCs w:val="24"/>
          <w:lang w:val="es-CO"/>
        </w:rPr>
        <w:t>El predominio de municipios en categorías de divergencia espacial (alto-bajo y bajo-alto) en el año 2020, que sumaron 258 municipios, resalta una distribución desigual de la mortalidad por COVID-19 entre ellos. Este patrón sugiere que municipios con altas tasas de mortalidad estaban rodeados de otros con tasas bajas, y viceversa. La divergencia observada refleja cómo las disparidades locales en recursos y respuestas a la pandemia influyeron en la distribución de la mortalidad, subrayando las desigualdades en el impacto del COVID-19 en los distintos contextos municipales.</w:t>
      </w:r>
    </w:p>
    <w:p w14:paraId="1D0A18E3" w14:textId="77777777" w:rsidR="00197CE9" w:rsidRPr="00C316F8" w:rsidRDefault="00197CE9" w:rsidP="003B711F">
      <w:pPr>
        <w:jc w:val="both"/>
        <w:rPr>
          <w:rFonts w:cstheme="minorHAnsi"/>
          <w:sz w:val="24"/>
          <w:szCs w:val="24"/>
          <w:lang w:val="es-CO"/>
        </w:rPr>
      </w:pPr>
      <w:r w:rsidRPr="00C316F8">
        <w:rPr>
          <w:rFonts w:cstheme="minorHAnsi"/>
          <w:sz w:val="24"/>
          <w:szCs w:val="24"/>
          <w:lang w:val="es-CO"/>
        </w:rPr>
        <w:t>En 2020, se destacaron barreras educativas, trabajo infantil y la inasistencia escolar, junto con problemas de empleo informal y de salud, como la no afiliación al sistema de salud y el uso de materiales inadecuados en la vivienda. En 2021, se mantuvieron los problemas de empleo informal y salud, pero aumentó la falta de acceso a servicios públicos esenciales como el agua potable y la disposición adecuada de excretas. Para 2022, los principales factores fueron el rezago escolar y la disposición inadecuada de excretas (ver Suplemento 3).</w:t>
      </w:r>
    </w:p>
    <w:p w14:paraId="151A69A7" w14:textId="77777777" w:rsidR="00197CE9" w:rsidRPr="00C316F8" w:rsidRDefault="00197CE9" w:rsidP="003B711F">
      <w:pPr>
        <w:jc w:val="both"/>
        <w:rPr>
          <w:rFonts w:cstheme="minorHAnsi"/>
          <w:sz w:val="24"/>
          <w:szCs w:val="24"/>
          <w:lang w:val="es-CO"/>
        </w:rPr>
      </w:pPr>
      <w:r w:rsidRPr="00C316F8">
        <w:rPr>
          <w:rFonts w:cstheme="minorHAnsi"/>
          <w:sz w:val="24"/>
          <w:szCs w:val="24"/>
          <w:lang w:val="es-CO"/>
        </w:rPr>
        <w:t>Estos cambios pueden reflejar diversas dinámicas socioeconómicas, políticas y ambientales. La persistencia del empleo informal sugiere desafíos continuos en la formalización del mercado laboral. Las mejoras o deterioros en salud y vivienda pueden estar relacionados con políticas gubernamentales, cambios en el acceso a recursos públicos y la evolución de crisis como la pandemia de COVID-19, que pudo haber exacerbado algunas de estas condiciones, especialmente en términos de hacinamiento y acceso a servicios básicos.</w:t>
      </w:r>
    </w:p>
    <w:p w14:paraId="2EE39660" w14:textId="31E9A8C7" w:rsidR="00C04A8D" w:rsidRPr="00C316F8" w:rsidRDefault="00197CE9" w:rsidP="003B711F">
      <w:pPr>
        <w:jc w:val="both"/>
        <w:rPr>
          <w:rFonts w:cstheme="minorHAnsi"/>
          <w:sz w:val="24"/>
          <w:szCs w:val="24"/>
          <w:lang w:val="es-CO"/>
        </w:rPr>
      </w:pPr>
      <w:r w:rsidRPr="00C316F8">
        <w:rPr>
          <w:rFonts w:cstheme="minorHAnsi"/>
          <w:sz w:val="24"/>
          <w:szCs w:val="24"/>
          <w:lang w:val="es-CO"/>
        </w:rPr>
        <w:t xml:space="preserve">Respecto a cada una de las variables, este estudio identificó el bajo logro educativo, el </w:t>
      </w:r>
      <w:r w:rsidR="002802E5" w:rsidRPr="00C316F8">
        <w:rPr>
          <w:rFonts w:cstheme="minorHAnsi"/>
          <w:sz w:val="24"/>
          <w:szCs w:val="24"/>
          <w:lang w:val="es-CO"/>
        </w:rPr>
        <w:t>rezago y la inasistencia escolar</w:t>
      </w:r>
      <w:r w:rsidRPr="00C316F8">
        <w:rPr>
          <w:rFonts w:cstheme="minorHAnsi"/>
          <w:sz w:val="24"/>
          <w:szCs w:val="24"/>
          <w:lang w:val="es-CO"/>
        </w:rPr>
        <w:t>. El bajo logro educativo, caracterizado por un promedio de menos de nueve años de educación en el hogar, emergió como un factor de riesgo significativo. Este fenómeno está estrechamente relacionado con el empleo en trabajos esenciales mal remunerados, donde las personas pueden enfrentar mayor exposición al virus y tener acceso limitado a atención médica, convirtiéndose potencialmente en vectores de contagio. Esto, a su vez, afecta a los miembros del hogar que conviven con ellos, quienes pueden pertenecer a poblaciones más vulnerables, como adultos mayores o personas con enfermedades crónicas</w:t>
      </w:r>
      <w:r w:rsidR="0045292C" w:rsidRPr="00C316F8">
        <w:rPr>
          <w:rFonts w:cstheme="minorHAnsi"/>
          <w:sz w:val="24"/>
          <w:szCs w:val="24"/>
          <w:lang w:val="es-CO"/>
        </w:rPr>
        <w:t>.</w:t>
      </w:r>
      <w:r w:rsidRPr="00C316F8">
        <w:rPr>
          <w:rFonts w:cstheme="minorHAnsi"/>
          <w:sz w:val="24"/>
          <w:szCs w:val="24"/>
          <w:lang w:val="es-CO"/>
        </w:rPr>
        <w:t xml:space="preserve"> </w:t>
      </w:r>
      <w:r w:rsidR="00C04A8D"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{"citationID":"vonYjATe","properties":{"formattedCitation":"(92,93)","plainCitation":"(92,93)","noteIndex":0},"citationItems":[{"id":1597,"uris":["http://zotero.org/users/5785509/items/7P3F8GMQ"],"itemData":{"id":1597,"type":"article-journal","abstract":"Background\nAlthough many studies have found a high correlation between socio-economic inequalities and risk of COVID-19 deaths, there is a reason to believe that much of this association is the product of differing levels of education.\nStudy design\nWe use a multi-level negative binomial regression model for analyzing COVID-19 mortality.\nMethods\nWe present multivariate models of fortnightly (n = 60) COVID-19 deaths in 3108 US counties for the period January 20, 2020, to May 10, 2022. We model the direct (unmediated) effect of education, controlling for economy, race, geography, lack of vaccination, political orientation (vote Republican), poor health, and lack of preventative health behavior.\nResults\nAfter controlling for correlated risk factors and indirect mechanisms that mediate education's impact on COVID-19 mortality, we find a strong direct (unmediated) correlation between low education and COVID-19 mortality (incidence rate ratio = 1.17; 95% confidence interval: 1.15, 1.20). We theorize that this correlation reflects education's relationship with (1) collective cultures, such as norms of mask wearing, and (2) individual literacy, such as ability to engage with scientific communication.\nConclusions\nLow education is strongly correlated with COVID-19 deaths, with an effect size of a university degree comparable to that of being aged &gt;65 years. If this correlation is indeed causal, then it would imply that low education accounts for between 1 in 10 and 1 in 7 deaths in low-education counties. Education should be conceptualized as a potential high-risk factor for COVID-19 death and be taken into account when attempting to combat COVID-19 in disadvantaged communities. The effect of education cannot be reduced to its impact on vaccination or correlation with poor health or economic status, but it seems likely that low-education communities have collective cultures that expose individuals to greater risks and lack of individual literacy that limits engagement with public health messaging.","container-title":"Public Health","DOI":"10.1016/j.puhe.2023.06.016","ISSN":"0033-3506","journalAbbreviation":"Public Health","page":"201-207","source":"ScienceDirect","title":"Low education predicts large increase in COVID-19 mortality: the role of collective culture and individual literacy","title-short":"Low education predicts large increase in COVID-19 mortality","URL":"https://www.sciencedirect.com/science/article/pii/S0033350623002056","volume":"221","author":[{"family":"Zhuo","given":"J."},{"family":"Harrigan","given":"N."}],"accessed":{"date-parts":[["2024",7,27]]},"issued":{"date-parts":[["2023",8,1]]}}},{"id":1595,"uris":["http://zotero.org/users/5785509/items/YBGDH4KD"],"itemData":{"id":1595,"type":"article-journal","container-title":"JAMA Network Open","DOI":"10.1001/jamanetworkopen.2022.8406","ISSN":"2574-3805","issue":"4","journalAbbreviation":"JAMA Netw Open","language":"en","page":"e228406","source":"DOI.org (Crossref)","title":"Occupation and Educational Attainment Characteristics Associated With COVID-19 Mortality by Race and Ethnicity in California","URL":"https://jamanetwork.com/journals/jamanetworkopen/fullarticle/2791454","volume":"5","author":[{"family":"Matthay","given":"Ellicott C."},{"family":"Duchowny","given":"Kate A."},{"family":"Riley","given":"Alicia R."},{"family":"Thomas","given":"Marilyn D."},{"family":"Chen","given":"Yea-Hung"},{"family":"Bibbins-Domingo","given":"Kirsten"},{"family":"Glymour","given":"M. Maria"}],"accessed":{"date-parts":[["2024",7,27]]},"issued":{"date-parts":[["2022",4,22]]}}}],"schema":"https://github.com/citation-style-language/schema/raw/master/csl-citation.json"} </w:instrText>
      </w:r>
      <w:r w:rsidR="00C04A8D" w:rsidRPr="00C316F8">
        <w:rPr>
          <w:rFonts w:cstheme="minorHAnsi"/>
          <w:sz w:val="24"/>
          <w:szCs w:val="24"/>
        </w:rPr>
        <w:fldChar w:fldCharType="separate"/>
      </w:r>
      <w:r w:rsidR="00BB03C0" w:rsidRPr="00C316F8">
        <w:rPr>
          <w:rFonts w:ascii="Calibri" w:hAnsi="Calibri" w:cs="Calibri"/>
          <w:sz w:val="24"/>
          <w:lang w:val="es-CO"/>
        </w:rPr>
        <w:t>(92,93)</w:t>
      </w:r>
      <w:r w:rsidR="00C04A8D" w:rsidRPr="00C316F8">
        <w:rPr>
          <w:rFonts w:cstheme="minorHAnsi"/>
          <w:sz w:val="24"/>
          <w:szCs w:val="24"/>
        </w:rPr>
        <w:fldChar w:fldCharType="end"/>
      </w:r>
    </w:p>
    <w:p w14:paraId="6C0CAE33" w14:textId="435F2F72" w:rsidR="00C04A8D" w:rsidRPr="00C316F8" w:rsidRDefault="0097664E" w:rsidP="003B711F">
      <w:pPr>
        <w:jc w:val="both"/>
        <w:rPr>
          <w:rFonts w:cstheme="minorHAnsi"/>
          <w:sz w:val="24"/>
          <w:szCs w:val="24"/>
          <w:lang w:val="es-CO"/>
        </w:rPr>
      </w:pPr>
      <w:r w:rsidRPr="00C316F8">
        <w:rPr>
          <w:rFonts w:cstheme="minorHAnsi"/>
          <w:sz w:val="24"/>
          <w:szCs w:val="24"/>
          <w:lang w:val="es-CO"/>
        </w:rPr>
        <w:t xml:space="preserve">Además, el rezago escolar se refiere a la situación en la que niños, niñas y adolescentes de entre 13 y 17 años no alcanzan el nivel educativo correspondiente a su grupo etario, según lo establecido por las políticas educativas nacionales. Este fenómeno puede atribuirse en gran medida a la interrupción de las clases presenciales en todos los niveles educativos durante la pandemia, lo que generó una brecha en la adquisición de conocimientos. La pandemia de COVID-19 tuvo un impacto significativo en la educación en Colombia, como lo demuestra la tasa de inasistencia escolar. En 2020, dicha tasa alcanzó un pico del 16,4%, </w:t>
      </w:r>
      <w:r w:rsidRPr="00C316F8">
        <w:rPr>
          <w:rFonts w:cstheme="minorHAnsi"/>
          <w:sz w:val="24"/>
          <w:szCs w:val="24"/>
          <w:lang w:val="es-CO"/>
        </w:rPr>
        <w:lastRenderedPageBreak/>
        <w:t>probablemente debido a la suspensión de la educación presencial y a los desafíos asociados con la transición al aprendizaje remoto. Sin embargo, en los años siguientes se observó una disminución notable en la inasistencia escolar, que descendió al 5,5% en 2021 y al 2,3% en 2022</w:t>
      </w:r>
      <w:r w:rsidR="00C04A8D" w:rsidRPr="00C316F8">
        <w:rPr>
          <w:rFonts w:cstheme="minorHAnsi"/>
          <w:sz w:val="24"/>
          <w:szCs w:val="24"/>
          <w:lang w:val="es-CO"/>
        </w:rPr>
        <w:t xml:space="preserve"> </w:t>
      </w:r>
      <w:r w:rsidR="00C04A8D"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{"citationID":"NytHUVc8","properties":{"formattedCitation":"(83)","plainCitation":"(83)","noteIndex":0},"citationItems":[{"id":405,"uris":["http://zotero.org/users/5785509/items/RIS5MNAN"],"itemData":{"id":405,"type":"webpage","title":"DANE - Pobreza multidimensional","URL":"https://www.dane.gov.co/index.php/estadisticas-por-tema/pobreza-y-condiciones-de-vida/pobreza-multidimensional","accessed":{"date-parts":[["2023",6,12]]}}}],"schema":"https://github.com/citation-style-language/schema/raw/master/csl-citation.json"} </w:instrText>
      </w:r>
      <w:r w:rsidR="00C04A8D" w:rsidRPr="00C316F8">
        <w:rPr>
          <w:rFonts w:cstheme="minorHAnsi"/>
          <w:sz w:val="24"/>
          <w:szCs w:val="24"/>
        </w:rPr>
        <w:fldChar w:fldCharType="separate"/>
      </w:r>
      <w:r w:rsidR="002063BA" w:rsidRPr="00C316F8">
        <w:rPr>
          <w:rFonts w:ascii="Calibri" w:hAnsi="Calibri" w:cs="Calibri"/>
          <w:sz w:val="24"/>
          <w:lang w:val="es-CO"/>
        </w:rPr>
        <w:t>(83)</w:t>
      </w:r>
      <w:r w:rsidR="00C04A8D" w:rsidRPr="00C316F8">
        <w:rPr>
          <w:rFonts w:cstheme="minorHAnsi"/>
          <w:sz w:val="24"/>
          <w:szCs w:val="24"/>
        </w:rPr>
        <w:fldChar w:fldCharType="end"/>
      </w:r>
      <w:r w:rsidR="00C04A8D" w:rsidRPr="00C316F8">
        <w:rPr>
          <w:rFonts w:cstheme="minorHAnsi"/>
          <w:sz w:val="24"/>
          <w:szCs w:val="24"/>
          <w:lang w:val="es-CO"/>
        </w:rPr>
        <w:t xml:space="preserve">. </w:t>
      </w:r>
      <w:r w:rsidR="006A0A42" w:rsidRPr="00C316F8">
        <w:rPr>
          <w:rFonts w:cstheme="minorHAnsi"/>
          <w:sz w:val="24"/>
          <w:szCs w:val="24"/>
          <w:lang w:val="es-CO"/>
        </w:rPr>
        <w:t xml:space="preserve">Estas cifras indican una recuperación gradual en la asistencia escolar a medida que las escuelas comenzaron a reabrir y se implementaron medidas para apoyar la educación remota </w:t>
      </w:r>
      <w:r w:rsidR="00C04A8D" w:rsidRPr="00C316F8">
        <w:rPr>
          <w:rFonts w:cstheme="minorHAnsi"/>
          <w:sz w:val="24"/>
          <w:szCs w:val="24"/>
        </w:rPr>
        <w:fldChar w:fldCharType="begin"/>
      </w:r>
      <w:r w:rsidR="00961D28" w:rsidRPr="00C316F8">
        <w:rPr>
          <w:rFonts w:cstheme="minorHAnsi"/>
          <w:sz w:val="24"/>
          <w:szCs w:val="24"/>
          <w:lang w:val="es-CO"/>
        </w:rPr>
        <w:instrText xml:space="preserve"> ADDIN ZOTERO_ITEM CSL_CITATION {"citationID":"RmY3Lh34","properties":{"formattedCitation":"(94)","plainCitation":"(94)","noteIndex":0},"citationItems":[{"id":1486,"uris":["http://zotero.org/users/5785509/items/6I3S7XDL"],"itemData":{"id":1486,"type":"article-journal","container-title":"Ciencia Latina Revista Científica Multidisciplinar","ISSN":"2707-2215","issue":"5","journalAbbreviation":"Ciencia Latina Revista Científica Multidisciplinar","page":"5816-5840","title":"Impacto de la Pandemia en la Calidad del Sistema Educativo Colombiano","volume":"7","author":[{"family":"Mosquera","given":"José Arceliano Palacios"},{"family":"Scarpeta","given":"Nancy Lorena Palacios"}],"issued":{"date-parts":[["2023"]]}}}],"schema":"https://github.com/citation-style-language/schema/raw/master/csl-citation.json"} </w:instrText>
      </w:r>
      <w:r w:rsidR="00C04A8D" w:rsidRPr="00C316F8">
        <w:rPr>
          <w:rFonts w:cstheme="minorHAnsi"/>
          <w:sz w:val="24"/>
          <w:szCs w:val="24"/>
        </w:rPr>
        <w:fldChar w:fldCharType="separate"/>
      </w:r>
      <w:r w:rsidR="00BB03C0" w:rsidRPr="00C316F8">
        <w:rPr>
          <w:rFonts w:ascii="Calibri" w:hAnsi="Calibri" w:cs="Calibri"/>
          <w:sz w:val="24"/>
          <w:lang w:val="es-CO"/>
        </w:rPr>
        <w:t>(94)</w:t>
      </w:r>
      <w:r w:rsidR="00C04A8D" w:rsidRPr="00C316F8">
        <w:rPr>
          <w:rFonts w:cstheme="minorHAnsi"/>
          <w:sz w:val="24"/>
          <w:szCs w:val="24"/>
        </w:rPr>
        <w:fldChar w:fldCharType="end"/>
      </w:r>
      <w:r w:rsidR="00C04A8D" w:rsidRPr="00C316F8">
        <w:rPr>
          <w:rFonts w:cstheme="minorHAnsi"/>
          <w:sz w:val="24"/>
          <w:szCs w:val="24"/>
          <w:lang w:val="es-CO"/>
        </w:rPr>
        <w:t xml:space="preserve">. </w:t>
      </w:r>
      <w:r w:rsidR="006A0A42" w:rsidRPr="00C316F8">
        <w:rPr>
          <w:rFonts w:cstheme="minorHAnsi"/>
          <w:sz w:val="24"/>
          <w:szCs w:val="24"/>
          <w:lang w:val="es-CO"/>
        </w:rPr>
        <w:t>No obstante, la pandemia ha evidenciado y, en muchos casos, exacerbado las desigualdades existentes en el sistema educativo.</w:t>
      </w:r>
    </w:p>
    <w:p w14:paraId="3D83C5C0" w14:textId="024EE7B6" w:rsidR="00C04A8D" w:rsidRPr="00C316F8" w:rsidRDefault="006A4E70" w:rsidP="003B711F">
      <w:pPr>
        <w:jc w:val="both"/>
        <w:rPr>
          <w:rFonts w:cstheme="minorHAnsi"/>
          <w:color w:val="0D0D0D"/>
          <w:sz w:val="24"/>
          <w:szCs w:val="24"/>
          <w:shd w:val="clear" w:color="auto" w:fill="FFFFFF"/>
          <w:lang w:val="es-CO"/>
        </w:rPr>
      </w:pPr>
      <w:r w:rsidRPr="00C316F8">
        <w:rPr>
          <w:rFonts w:eastAsia="Calibri" w:cstheme="minorHAnsi"/>
          <w:color w:val="0D0D0D"/>
          <w:sz w:val="24"/>
          <w:szCs w:val="24"/>
          <w:lang w:val="es-CO"/>
        </w:rPr>
        <w:t xml:space="preserve">La falta de acceso integral a la atención en la primera infancia está relacionada con la ausencia simultánea de servicios de salud, nutrición y educación inicial. Este estudio reveló una asociación entre este dominio y la mortalidad por COVID-19. Las disparidades en el acceso se deben a factores familiares, comunitarios, ambientales y políticos </w:t>
      </w:r>
      <w:r w:rsidR="00C04A8D" w:rsidRPr="00C316F8">
        <w:rPr>
          <w:rFonts w:cstheme="minorHAnsi"/>
          <w:color w:val="0D0D0D"/>
          <w:sz w:val="24"/>
          <w:szCs w:val="24"/>
          <w:shd w:val="clear" w:color="auto" w:fill="FFFFFF"/>
        </w:rPr>
        <w:fldChar w:fldCharType="begin"/>
      </w:r>
      <w:r w:rsidR="00CD2033" w:rsidRPr="00C316F8">
        <w:rPr>
          <w:rFonts w:cstheme="minorHAnsi"/>
          <w:color w:val="0D0D0D"/>
          <w:sz w:val="24"/>
          <w:szCs w:val="24"/>
          <w:shd w:val="clear" w:color="auto" w:fill="FFFFFF"/>
          <w:lang w:val="es-CO"/>
        </w:rPr>
        <w:instrText xml:space="preserve"> ADDIN ZOTERO_ITEM CSL_CITATION {"citationID":"Njxxurlt","properties":{"formattedCitation":"(95,96)","plainCitation":"(95,96)","noteIndex":0},"citationItems":[{"id":1601,"uris":["http://zotero.org/users/5785509/items/K4IUATQR"],"itemData":{"id":1601,"type":"article-journal","abstract":"Children's health and development outcomes follow a social gradient: the further up the socioeconomic spectrum, the better the outcomes. Based upon a review of multiple forms of evidence, and with a specific focus upon Australia, this article investigates the causes of these socially produced inequities, their impact upon health and development during the early years and what works to reduce these inequities. Using VicHealth's Fair Foundations framework, we report upon child health inequity at three different levels: the socioeconomic, political and cultural level; daily living conditions; the individual health-related behaviours. Although intensive interventions may improve the absolute conditions of significantly disadvantaged children and families, interventions that have been shown to effectively reduce the gap between the best and worst off families are rare. Numerous interventions have been shown to improve some aspect of prenatal, postnatal, family, physical and social environments for young children; however, sustainable or direct effects are difficult to achieve. Inequitable access to services has the potential to maintain or increase inequities during the early years, because those families most in need of services are typically least able to access them. Reducing inequities during early childhood requires a multi-level, multi-faceted response that incorporates: approaches to governance and decision-making; policies that improve access to quality services and facilitate secure, stable, flexible workplaces for parents; service systems that reflect the characteristics of proportionate universalism, function collaboratively, and deliver evidence-based programs in inclusive environments; strong, supportive communities; and information and timely assistance for parents so they feel supported and confident.","container-title":"Health Promotion International","DOI":"10.1093/heapro/dav031","ISSN":"0957-4824","issue":"suppl_2","journalAbbreviation":"Health Promotion International","page":"ii102-ii115","source":"Silverchair","title":"Early childhood development and the social determinants of health inequities","URL":"https://doi.org/10.1093/heapro/dav031","volume":"30","author":[{"family":"Moore","given":"Timothy G."},{"family":"McDonald","given":"Myfanwy"},{"family":"Carlon","given":"Leanne"},{"family":"O'Rourke","given":"Kerryn"}],"accessed":{"date-parts":[["2024",7,27]]},"issued":{"date-parts":[["2015",9,1]]}}},{"id":1600,"uris":["http://zotero.org/users/5785509/items/T73BZS5J"],"itemData":{"id":1600,"type":"article-journal","abstract":"We analyse both academic literature and practice reports to discover the main causes for unequal accessibility of high quality early childhood care and education (ECEC). In order to understand and to remedy this inequality we need to consider the interplay between elements of governance, of the management of services and elements on the level of parents. From this analysis as well as from reports on successful inclusive practises, we arrive at five quality criteria and make 13 recommendations for policy and practice.","container-title":"European Early Childhood Education Research Journal","DOI":"10.1080/1350293X.2014.912895","ISSN":"1350-293X","issue":"3","note":"_eprint: https://doi.org/10.1080/1350293X.2014.912895","page":"327-335","publisher":"Routledge","source":"Taylor and Francis+NEJM","title":"Accessibility of early childhood education and care: a state of affairs","title-short":"Accessibility of early childhood education and care","URL":"https://doi.org/10.1080/1350293X.2014.912895","volume":"22","author":[{"family":"Vandenbroeck","given":"Michel"},{"family":"Lazzari","given":"Arianna"}],"accessed":{"date-parts":[["2024",7,27]]},"issued":{"date-parts":[["2014",5,27]]}}}],"schema":"https://github.com/citation-style-language/schema/raw/master/csl-citation.json"} </w:instrText>
      </w:r>
      <w:r w:rsidR="00C04A8D" w:rsidRPr="00C316F8">
        <w:rPr>
          <w:rFonts w:cstheme="minorHAnsi"/>
          <w:color w:val="0D0D0D"/>
          <w:sz w:val="24"/>
          <w:szCs w:val="24"/>
          <w:shd w:val="clear" w:color="auto" w:fill="FFFFFF"/>
        </w:rPr>
        <w:fldChar w:fldCharType="separate"/>
      </w:r>
      <w:r w:rsidR="00BB03C0" w:rsidRPr="00C316F8">
        <w:rPr>
          <w:rFonts w:ascii="Calibri" w:hAnsi="Calibri" w:cs="Calibri"/>
          <w:sz w:val="24"/>
          <w:lang w:val="es-CO"/>
        </w:rPr>
        <w:t>(95,96)</w:t>
      </w:r>
      <w:r w:rsidR="00C04A8D" w:rsidRPr="00C316F8">
        <w:rPr>
          <w:rFonts w:cstheme="minorHAnsi"/>
          <w:color w:val="0D0D0D"/>
          <w:sz w:val="24"/>
          <w:szCs w:val="24"/>
          <w:shd w:val="clear" w:color="auto" w:fill="FFFFFF"/>
        </w:rPr>
        <w:fldChar w:fldCharType="end"/>
      </w:r>
      <w:r w:rsidR="00C04A8D" w:rsidRPr="00C316F8">
        <w:rPr>
          <w:rFonts w:cstheme="minorHAnsi"/>
          <w:color w:val="0D0D0D"/>
          <w:sz w:val="24"/>
          <w:szCs w:val="24"/>
          <w:shd w:val="clear" w:color="auto" w:fill="FFFFFF"/>
          <w:lang w:val="es-CO"/>
        </w:rPr>
        <w:t xml:space="preserve"> </w:t>
      </w:r>
      <w:r w:rsidR="005C4859" w:rsidRPr="00C316F8">
        <w:rPr>
          <w:rFonts w:cstheme="minorHAnsi"/>
          <w:color w:val="0D0D0D"/>
          <w:sz w:val="24"/>
          <w:szCs w:val="24"/>
          <w:shd w:val="clear" w:color="auto" w:fill="FFFFFF"/>
          <w:lang w:val="es-CO"/>
        </w:rPr>
        <w:t>y se ven exacerbadas por barreras económicas, culturales y de conocimiento</w:t>
      </w:r>
      <w:r w:rsidR="00C04A8D" w:rsidRPr="00C316F8">
        <w:rPr>
          <w:rFonts w:cstheme="minorHAnsi"/>
          <w:color w:val="0D0D0D"/>
          <w:sz w:val="24"/>
          <w:szCs w:val="24"/>
          <w:shd w:val="clear" w:color="auto" w:fill="FFFFFF"/>
          <w:lang w:val="es-CO"/>
        </w:rPr>
        <w:t xml:space="preserve">  </w:t>
      </w:r>
      <w:r w:rsidR="00C04A8D" w:rsidRPr="00C316F8">
        <w:rPr>
          <w:rFonts w:cstheme="minorHAnsi"/>
          <w:color w:val="0D0D0D"/>
          <w:sz w:val="24"/>
          <w:szCs w:val="24"/>
          <w:shd w:val="clear" w:color="auto" w:fill="FFFFFF"/>
        </w:rPr>
        <w:fldChar w:fldCharType="begin"/>
      </w:r>
      <w:r w:rsidR="00CD2033" w:rsidRPr="00C316F8">
        <w:rPr>
          <w:rFonts w:cstheme="minorHAnsi"/>
          <w:color w:val="0D0D0D"/>
          <w:sz w:val="24"/>
          <w:szCs w:val="24"/>
          <w:shd w:val="clear" w:color="auto" w:fill="FFFFFF"/>
          <w:lang w:val="es-CO"/>
        </w:rPr>
        <w:instrText xml:space="preserve"> ADDIN ZOTERO_ITEM CSL_CITATION {"citationID":"tcVvdCx3","properties":{"formattedCitation":"(97)","plainCitation":"(97)","noteIndex":0},"citationItems":[{"id":1604,"uris":["http://zotero.org/users/5785509/items/DKCX24B5"],"itemData":{"id":1604,"type":"article-journal","abstract":"Participation in high-quality early childhood education and care (ECEC) benefits children and society. Policy recognition of this manifests through government subsidy strategies to increase ECEC access in the years immediately preceding school. Yet despite this action, many children do not receive the recommended amount. This study utilizes a mixed-methods design to investigate ECEC participation barriers and facilitators in three Australian communities. Parents and service providers completed online questionnaires (45 parents, 63 providers) and semi-structured interviews (21 parents, 16 providers). Results showed that issues related to both direct (e.g., fees) and indirect (e.g., travel) costs are particularly important barriers for families, and are well-recognized by providers. A range of factors were also considered important for facilitating participation (e.g., effective promotion of the benefits linked to high-quality play-based learning in formal settings, professional training of staff). Findings demonstrated the ecological complexity of participation. Strategies to address barriers and harness facilitators are required across multiple levels.","container-title":"Journal of Child and Family Studies","DOI":"10.1007/s10826-022-02274-5","ISSN":"1573-2843","issue":"11","journalAbbreviation":"J Child Fam Stud","language":"en","page":"2929-2946","source":"Springer Link","title":"Early Childhood Education Participation: A Mixed-Methods Study of Parent and Provider Perceived Barriers and Facilitators","title-short":"Early Childhood Education Participation","URL":"https://doi.org/10.1007/s10826-022-02274-5","volume":"31","author":[{"family":"Beatson","given":"Ruth"},{"family":"Molloy","given":"Carly"},{"family":"Fehlberg","given":"Zoe"},{"family":"Perini","given":"Nicholas"},{"family":"Harrop","given":"Christopher"},{"family":"Goldfeld","given":"Sharon"}],"accessed":{"date-parts":[["2024",7,27]]},"issued":{"date-parts":[["2022",11,1]]}}}],"schema":"https://github.com/citation-style-language/schema/raw/master/csl-citation.json"} </w:instrText>
      </w:r>
      <w:r w:rsidR="00C04A8D" w:rsidRPr="00C316F8">
        <w:rPr>
          <w:rFonts w:cstheme="minorHAnsi"/>
          <w:color w:val="0D0D0D"/>
          <w:sz w:val="24"/>
          <w:szCs w:val="24"/>
          <w:shd w:val="clear" w:color="auto" w:fill="FFFFFF"/>
        </w:rPr>
        <w:fldChar w:fldCharType="separate"/>
      </w:r>
      <w:r w:rsidR="00BB03C0" w:rsidRPr="00C316F8">
        <w:rPr>
          <w:rFonts w:ascii="Calibri" w:hAnsi="Calibri" w:cs="Calibri"/>
          <w:sz w:val="24"/>
          <w:lang w:val="es-CO"/>
        </w:rPr>
        <w:t>(97)</w:t>
      </w:r>
      <w:r w:rsidR="00C04A8D" w:rsidRPr="00C316F8">
        <w:rPr>
          <w:rFonts w:cstheme="minorHAnsi"/>
          <w:color w:val="0D0D0D"/>
          <w:sz w:val="24"/>
          <w:szCs w:val="24"/>
          <w:shd w:val="clear" w:color="auto" w:fill="FFFFFF"/>
        </w:rPr>
        <w:fldChar w:fldCharType="end"/>
      </w:r>
      <w:r w:rsidR="00C04A8D" w:rsidRPr="00C316F8">
        <w:rPr>
          <w:rFonts w:cstheme="minorHAnsi"/>
          <w:color w:val="0D0D0D"/>
          <w:sz w:val="24"/>
          <w:szCs w:val="24"/>
          <w:shd w:val="clear" w:color="auto" w:fill="FFFFFF"/>
          <w:lang w:val="es-CO"/>
        </w:rPr>
        <w:t xml:space="preserve">. </w:t>
      </w:r>
      <w:r w:rsidR="005C4859" w:rsidRPr="00C316F8">
        <w:rPr>
          <w:rFonts w:cstheme="minorHAnsi"/>
          <w:color w:val="0D0D0D"/>
          <w:sz w:val="24"/>
          <w:szCs w:val="24"/>
          <w:shd w:val="clear" w:color="auto" w:fill="FFFFFF"/>
          <w:lang w:val="es-CO"/>
        </w:rPr>
        <w:t>Las estrategias y estudios del Banco Mundial sobre el empoderamiento económico de las mujeres sugieren que mejorar el cuidado infantil puede tener efectos positivos tanto en el desarrollo de la primera infancia como en la equidad de género</w:t>
      </w:r>
      <w:r w:rsidR="0045292C" w:rsidRPr="00C316F8">
        <w:rPr>
          <w:rFonts w:cstheme="minorHAnsi"/>
          <w:color w:val="0D0D0D"/>
          <w:sz w:val="24"/>
          <w:szCs w:val="24"/>
          <w:shd w:val="clear" w:color="auto" w:fill="FFFFFF"/>
          <w:lang w:val="es-CO"/>
        </w:rPr>
        <w:t>.</w:t>
      </w:r>
      <w:r w:rsidR="005C4859" w:rsidRPr="00C316F8">
        <w:rPr>
          <w:rFonts w:cstheme="minorHAnsi"/>
          <w:color w:val="0D0D0D"/>
          <w:sz w:val="24"/>
          <w:szCs w:val="24"/>
          <w:shd w:val="clear" w:color="auto" w:fill="FFFFFF"/>
          <w:lang w:val="es-CO"/>
        </w:rPr>
        <w:t xml:space="preserve"> </w:t>
      </w:r>
      <w:r w:rsidR="00C04A8D" w:rsidRPr="00C316F8">
        <w:rPr>
          <w:rFonts w:cstheme="minorHAnsi"/>
          <w:color w:val="0D0D0D"/>
          <w:sz w:val="24"/>
          <w:szCs w:val="24"/>
          <w:shd w:val="clear" w:color="auto" w:fill="FFFFFF"/>
        </w:rPr>
        <w:fldChar w:fldCharType="begin"/>
      </w:r>
      <w:r w:rsidR="00961D28" w:rsidRPr="00C316F8">
        <w:rPr>
          <w:rFonts w:cstheme="minorHAnsi"/>
          <w:color w:val="0D0D0D"/>
          <w:sz w:val="24"/>
          <w:szCs w:val="24"/>
          <w:shd w:val="clear" w:color="auto" w:fill="FFFFFF"/>
          <w:lang w:val="es-CO"/>
        </w:rPr>
        <w:instrText xml:space="preserve"> ADDIN ZOTERO_ITEM CSL_CITATION {"citationID":"zeLfbRV3","properties":{"formattedCitation":"(98,99)","plainCitation":"(98,99)","noteIndex":0},"citationItems":[{"id":921,"uris":["http://zotero.org/users/5785509/items/SN2HHQ5M"],"itemData":{"id":921,"type":"webpage","title":"What happens when early childhood development meets women’s economic empowerment?","URL":"https://blogs.worldbank.org/developmenttalk/what-happens-when-early-childhood-development-meets-womens-economic-empowerment","accessed":{"date-parts":[["2023",12,9]]}}},{"id":922,"uris":["http://zotero.org/users/5785509/items/LXRIEYJK"],"itemData":{"id":922,"type":"webpage","title":"banco mundial y cuidado para la primera infancia - Buscar con Google","URL":"https://www.google.com/search?q=banco+mundial+y+cuidado+para+la+primera+infancia&amp;rlz=1C1GCEA_enCO1049CO1049&amp;oq=banco+mundial+y+cuidado+para+la+primer&amp;gs_lcrp=EgZjaHJvbWUqBwgBECEYoAEyBggAEEUYOTIHCAEQIRigATIHCAIQIRigATIKCAMQIRgWGB0YHtIBCjExMzQ5ajBqMTWoAgCwAgA&amp;sourceid=chrome&amp;ie=UTF-8","accessed":{"date-parts":[["2023",12,9]]}}}],"schema":"https://github.com/citation-style-language/schema/raw/master/csl-citation.json"} </w:instrText>
      </w:r>
      <w:r w:rsidR="00C04A8D" w:rsidRPr="00C316F8">
        <w:rPr>
          <w:rFonts w:cstheme="minorHAnsi"/>
          <w:color w:val="0D0D0D"/>
          <w:sz w:val="24"/>
          <w:szCs w:val="24"/>
          <w:shd w:val="clear" w:color="auto" w:fill="FFFFFF"/>
        </w:rPr>
        <w:fldChar w:fldCharType="separate"/>
      </w:r>
      <w:r w:rsidR="00BB03C0" w:rsidRPr="00C316F8">
        <w:rPr>
          <w:rFonts w:ascii="Calibri" w:hAnsi="Calibri" w:cs="Calibri"/>
          <w:sz w:val="24"/>
          <w:lang w:val="es-CO"/>
        </w:rPr>
        <w:t>(98,99)</w:t>
      </w:r>
      <w:r w:rsidR="00C04A8D" w:rsidRPr="00C316F8">
        <w:rPr>
          <w:rFonts w:cstheme="minorHAnsi"/>
          <w:color w:val="0D0D0D"/>
          <w:sz w:val="24"/>
          <w:szCs w:val="24"/>
          <w:shd w:val="clear" w:color="auto" w:fill="FFFFFF"/>
        </w:rPr>
        <w:fldChar w:fldCharType="end"/>
      </w:r>
    </w:p>
    <w:p w14:paraId="03462DE5" w14:textId="3C6AE01A" w:rsidR="00C04A8D" w:rsidRPr="00C316F8" w:rsidRDefault="00432AB5" w:rsidP="003B711F">
      <w:pPr>
        <w:jc w:val="both"/>
        <w:rPr>
          <w:rFonts w:cstheme="minorHAnsi"/>
          <w:color w:val="0D0D0D"/>
          <w:sz w:val="24"/>
          <w:szCs w:val="24"/>
          <w:shd w:val="clear" w:color="auto" w:fill="FFFFFF"/>
          <w:lang w:val="es-CO"/>
        </w:rPr>
      </w:pPr>
      <w:r w:rsidRPr="00C316F8">
        <w:rPr>
          <w:rFonts w:cstheme="minorHAnsi"/>
          <w:color w:val="0D0D0D"/>
          <w:sz w:val="24"/>
          <w:szCs w:val="24"/>
          <w:shd w:val="clear" w:color="auto" w:fill="FFFFFF"/>
          <w:lang w:val="es-CO"/>
        </w:rPr>
        <w:t xml:space="preserve">El trabajo infantil se define como la explotación de los niños a través de cualquier forma de trabajo que les prive de su infancia, interfiera con su capacidad para asistir regularmente a la escuela y sea perjudicial para su desarrollo. Aunque en Colombia se ha observado una reducción gradual en la tasa de trabajo infantil, pasando del 5% en el último trimestre de 2020 al 4.8% en 2021 y al 3.4% en 2022, esta problemática </w:t>
      </w:r>
      <w:r w:rsidR="00615C7C" w:rsidRPr="00C316F8">
        <w:rPr>
          <w:rFonts w:cstheme="minorHAnsi"/>
          <w:color w:val="0D0D0D"/>
          <w:sz w:val="24"/>
          <w:szCs w:val="24"/>
          <w:shd w:val="clear" w:color="auto" w:fill="FFFFFF"/>
          <w:lang w:val="es-CO"/>
        </w:rPr>
        <w:t>persiste (100)</w:t>
      </w:r>
      <w:r w:rsidR="00C04A8D" w:rsidRPr="00C316F8">
        <w:rPr>
          <w:rFonts w:cstheme="minorHAnsi"/>
          <w:color w:val="0D0D0D"/>
          <w:sz w:val="24"/>
          <w:szCs w:val="24"/>
          <w:shd w:val="clear" w:color="auto" w:fill="FFFFFF"/>
          <w:lang w:val="es-CO"/>
        </w:rPr>
        <w:t xml:space="preserve">, </w:t>
      </w:r>
      <w:r w:rsidR="004E4844" w:rsidRPr="00C316F8">
        <w:rPr>
          <w:rFonts w:cstheme="minorHAnsi"/>
          <w:color w:val="0D0D0D"/>
          <w:sz w:val="24"/>
          <w:szCs w:val="24"/>
          <w:shd w:val="clear" w:color="auto" w:fill="FFFFFF"/>
          <w:lang w:val="es-CO"/>
        </w:rPr>
        <w:t xml:space="preserve">la cifra sigue siendo preocupante, especialmente en los centros poblados y zonas rurales dispersas, donde alcanza el </w:t>
      </w:r>
      <w:r w:rsidR="00615C7C" w:rsidRPr="00C316F8">
        <w:rPr>
          <w:rFonts w:cstheme="minorHAnsi"/>
          <w:color w:val="0D0D0D"/>
          <w:sz w:val="24"/>
          <w:szCs w:val="24"/>
          <w:shd w:val="clear" w:color="auto" w:fill="FFFFFF"/>
          <w:lang w:val="es-CO"/>
        </w:rPr>
        <w:t>55.6% (101)</w:t>
      </w:r>
      <w:r w:rsidR="00C04A8D" w:rsidRPr="00C316F8">
        <w:rPr>
          <w:rFonts w:cstheme="minorHAnsi"/>
          <w:color w:val="0D0D0D"/>
          <w:sz w:val="24"/>
          <w:szCs w:val="24"/>
          <w:shd w:val="clear" w:color="auto" w:fill="FFFFFF"/>
          <w:lang w:val="es-CO"/>
        </w:rPr>
        <w:t xml:space="preserve">. </w:t>
      </w:r>
      <w:r w:rsidR="008545F9" w:rsidRPr="00C316F8">
        <w:rPr>
          <w:rFonts w:eastAsia="Calibri" w:cstheme="minorHAnsi"/>
          <w:color w:val="0D0D0D"/>
          <w:sz w:val="24"/>
          <w:szCs w:val="24"/>
          <w:lang w:val="es-CO"/>
        </w:rPr>
        <w:t>Es importante destacar que la pobreza, intensificada por la pandemia de COVID-19, puede agravar este fenómeno. El trabajo infantil no solo priva a los niños de su derecho a la educación al obligarlos a abandonar la escuela o a compaginarla con largas jornadas laborales, sino que también afecta su desarrollo físico, mental y social</w:t>
      </w:r>
      <w:r w:rsidR="0045292C" w:rsidRPr="00C316F8">
        <w:rPr>
          <w:rFonts w:eastAsia="Calibri" w:cstheme="minorHAnsi"/>
          <w:color w:val="0D0D0D"/>
          <w:sz w:val="24"/>
          <w:szCs w:val="24"/>
          <w:lang w:val="es-CO"/>
        </w:rPr>
        <w:t xml:space="preserve">. </w:t>
      </w:r>
      <w:r w:rsidR="00C04A8D" w:rsidRPr="00C316F8">
        <w:rPr>
          <w:rFonts w:cstheme="minorHAnsi"/>
          <w:color w:val="0D0D0D"/>
          <w:sz w:val="24"/>
          <w:szCs w:val="24"/>
          <w:shd w:val="clear" w:color="auto" w:fill="FFFFFF"/>
        </w:rPr>
        <w:fldChar w:fldCharType="begin"/>
      </w:r>
      <w:r w:rsidR="00CD2033" w:rsidRPr="00C316F8">
        <w:rPr>
          <w:rFonts w:cstheme="minorHAnsi"/>
          <w:color w:val="0D0D0D"/>
          <w:sz w:val="24"/>
          <w:szCs w:val="24"/>
          <w:shd w:val="clear" w:color="auto" w:fill="FFFFFF"/>
          <w:lang w:val="es-CO"/>
        </w:rPr>
        <w:instrText xml:space="preserve"> ADDIN ZOTERO_ITEM CSL_CITATION {"citationID":"777Dl6QY","properties":{"formattedCitation":"(100)","plainCitation":"(100)","noteIndex":0},"citationItems":[{"id":1608,"uris":["http://zotero.org/users/5785509/items/IZ92U7RY"],"itemData":{"id":1608,"type":"article-journal","abstract":"Child labour is a global phenomenon occurring predominantly in countries with lower socioeconomic status and resources. Societal and familial poverty, loss or incapacitation/illness of parents, lack of social security and protection, and ignorance about the value of, or limited access to, education are among the myriad reasons for the involvement of children in the workforce. Child labour is a barrier to the development of individual children and their society and economy. Global estimates indicate that 152 million children (64 million girls and 88 million boys) are working, accounting for almost one in 10 of all children worldwide. Currently the COVID-19 health pandemic and the resulting economic and labour market consequences are having a major impact on people’s lives and livelihoods. Unfortunately, impoverished families and their children are often the first to suffer, which may push many more vulnerable children into child labour situations. Child labour in India is more prevalent than in many other countries, with approximately 10 million children actively engaged in, or seeking, work. This paper focuses on the issue of child labour, its causes and its ill effects. Further, it also reviews the international legal framework relating to child labour and legislative issues in India. There is clearly an urgent need for this issue to be effectively addressed and resolved.","container-title":"Medicine, Science and the Law","DOI":"10.1177/0025802421993364","ISSN":"0025-8024","issue":"3","journalAbbreviation":"Med Sci Law","language":"en","page":"208-214","publisher":"SAGE Publications","source":"SAGE Journals","title":"Prevalence and potential consequences of child labour in India and the possible impact of COVID-19 – a contemporary overview","URL":"https://doi.org/10.1177/0025802421993364","volume":"61","author":[{"family":"Kaur","given":"Navpreet"},{"family":"Byard","given":"Roger W"}],"accessed":{"date-parts":[["2024",7,27]]},"issued":{"date-parts":[["2021",7,1]]}}}],"schema":"https://github.com/citation-style-language/schema/raw/master/csl-citation.json"} </w:instrText>
      </w:r>
      <w:r w:rsidR="00C04A8D" w:rsidRPr="00C316F8">
        <w:rPr>
          <w:rFonts w:cstheme="minorHAnsi"/>
          <w:color w:val="0D0D0D"/>
          <w:sz w:val="24"/>
          <w:szCs w:val="24"/>
          <w:shd w:val="clear" w:color="auto" w:fill="FFFFFF"/>
        </w:rPr>
        <w:fldChar w:fldCharType="separate"/>
      </w:r>
      <w:r w:rsidR="00C34B4F" w:rsidRPr="00C316F8">
        <w:rPr>
          <w:rFonts w:ascii="Calibri" w:hAnsi="Calibri" w:cs="Calibri"/>
          <w:sz w:val="24"/>
          <w:lang w:val="es-CO"/>
        </w:rPr>
        <w:t>(100)</w:t>
      </w:r>
      <w:r w:rsidR="00C04A8D" w:rsidRPr="00C316F8">
        <w:rPr>
          <w:rFonts w:cstheme="minorHAnsi"/>
          <w:color w:val="0D0D0D"/>
          <w:sz w:val="24"/>
          <w:szCs w:val="24"/>
          <w:shd w:val="clear" w:color="auto" w:fill="FFFFFF"/>
        </w:rPr>
        <w:fldChar w:fldCharType="end"/>
      </w:r>
    </w:p>
    <w:p w14:paraId="365B672F" w14:textId="150DA735" w:rsidR="00C04A8D" w:rsidRPr="00C316F8" w:rsidRDefault="00BA56EA" w:rsidP="003B711F">
      <w:pPr>
        <w:jc w:val="both"/>
        <w:rPr>
          <w:rFonts w:cstheme="minorHAnsi"/>
          <w:sz w:val="24"/>
          <w:szCs w:val="24"/>
          <w:lang w:val="es-CO"/>
        </w:rPr>
      </w:pPr>
      <w:r w:rsidRPr="00C316F8">
        <w:rPr>
          <w:rFonts w:cstheme="minorHAnsi"/>
          <w:sz w:val="24"/>
          <w:szCs w:val="24"/>
          <w:lang w:val="es-CO"/>
        </w:rPr>
        <w:t xml:space="preserve">En Colombia, una parte significativa de la población trabaja en el sector informal, enfrentando la falta de protección social y derechos pensionales. La tasa de informalidad sigue siendo elevada, superando el 50% del empleo total </w:t>
      </w:r>
      <w:r w:rsidR="00C04A8D"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{"citationID":"UB44eWo5","properties":{"formattedCitation":"(101)","plainCitation":"(101)","noteIndex":0},"citationItems":[{"id":930,"uris":["http://zotero.org/users/5785509/items/I2KWBASD"],"itemData":{"id":930,"type":"webpage","title":"DANE - Empleo informal y seguridad social","URL":"https://www.dane.gov.co/index.php/estadisticas-por-tema/mercado-laboral/empleo-informal-y-seguridad-social","accessed":{"date-parts":[["2023",12,10]]}}}],"schema":"https://github.com/citation-style-language/schema/raw/master/csl-citation.json"} </w:instrText>
      </w:r>
      <w:r w:rsidR="00C04A8D" w:rsidRPr="00C316F8">
        <w:rPr>
          <w:rFonts w:cstheme="minorHAnsi"/>
          <w:sz w:val="24"/>
          <w:szCs w:val="24"/>
        </w:rPr>
        <w:fldChar w:fldCharType="separate"/>
      </w:r>
      <w:r w:rsidR="00C34B4F" w:rsidRPr="00C316F8">
        <w:rPr>
          <w:rFonts w:ascii="Calibri" w:hAnsi="Calibri" w:cs="Calibri"/>
          <w:sz w:val="24"/>
          <w:lang w:val="es-CO"/>
        </w:rPr>
        <w:t>(101)</w:t>
      </w:r>
      <w:r w:rsidR="00C04A8D" w:rsidRPr="00C316F8">
        <w:rPr>
          <w:rFonts w:cstheme="minorHAnsi"/>
          <w:sz w:val="24"/>
          <w:szCs w:val="24"/>
        </w:rPr>
        <w:fldChar w:fldCharType="end"/>
      </w:r>
      <w:r w:rsidR="00C04A8D" w:rsidRPr="00C316F8">
        <w:rPr>
          <w:rFonts w:cstheme="minorHAnsi"/>
          <w:sz w:val="24"/>
          <w:szCs w:val="24"/>
          <w:lang w:val="es-CO"/>
        </w:rPr>
        <w:t xml:space="preserve">. </w:t>
      </w:r>
      <w:r w:rsidR="00402449" w:rsidRPr="00C316F8">
        <w:rPr>
          <w:rFonts w:cstheme="minorHAnsi"/>
          <w:sz w:val="24"/>
          <w:szCs w:val="24"/>
          <w:lang w:val="es-CO"/>
        </w:rPr>
        <w:t>Esta disparidad se traduce en una mayor vulnerabilidad frente a la enfermedad debido a la necesidad económica, lo que ha llevado al incumplimiento de las medidas de aislamiento diseñadas para prevenir la propagación del virus</w:t>
      </w:r>
      <w:r w:rsidR="0045292C" w:rsidRPr="00C316F8">
        <w:rPr>
          <w:rFonts w:cstheme="minorHAnsi"/>
          <w:sz w:val="24"/>
          <w:szCs w:val="24"/>
          <w:lang w:val="es-CO"/>
        </w:rPr>
        <w:t>.</w:t>
      </w:r>
      <w:r w:rsidR="00402449" w:rsidRPr="00C316F8">
        <w:rPr>
          <w:rFonts w:cstheme="minorHAnsi"/>
          <w:sz w:val="24"/>
          <w:szCs w:val="24"/>
          <w:lang w:val="es-CO"/>
        </w:rPr>
        <w:t xml:space="preserve"> </w:t>
      </w:r>
      <w:r w:rsidR="00C04A8D"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{"citationID":"4XUauJtb","properties":{"formattedCitation":"(63,102,103)","plainCitation":"(63,102,103)","noteIndex":0},"citationItems":[{"id":1618,"uris":["http://zotero.org/users/5785509/items/N94JYXFF"],"itemData":{"id":1618,"type":"article-journal","abstract":"The COVID-19 pandemic is affecting populations worldwide. Although everyone is susceptible to the virus, there are numerous accounts of the pandemic having a greater impact on lower socioeconomic groups and minorities.1,2 Also, in Stockholm, Sweden, the infection rate is 3–4 times higher in some socioeconomically disadvantaged residential areas compared to the regional average. Scientific studies of inequalities in Coronavirus disease 2019 (COVID-19) are lacking at present, but it is reasonable to assume that disparities in social determinants of health have contributed to these early observations and result in differential exposure to the virus, differential vulnerability to the infection and differential consequences of the disease.","container-title":"European Journal of Public Health","DOI":"10.1093/eurpub/ckaa095","ISSN":"1101-1262","issue":"4","journalAbbreviation":"European Journal of Public Health","page":"617-618","source":"Silverchair","title":"Social determinants of health and inequalities in COVID-19","URL":"https://doi.org/10.1093/eurpub/ckaa095","volume":"30","author":[{"family":"Burström","given":"Bo"},{"family":"Tao","given":"Wenjing"}],"accessed":{"date-parts":[["2024",7,27]]},"issued":{"date-parts":[["2020",8,1]]}}},{"id":1615,"uris":["http://zotero.org/users/5785509/items/8Z2GC42G"],"itemData":{"id":1615,"type":"article-journal","container-title":"The Lancet Regional Health – Americas","DOI":"10.1016/j.lana.2021.100072","ISSN":"2667-193X","journalAbbreviation":"The Lancet Regional Health – Americas","language":"English","PMID":"34541569","publisher":"Elsevier","source":"www.thelancet.com","title":"Complex correlates of Colombia's COVID-19 surge","URL":"https://www.thelancet.com/journals/lanam/article/PIIS2667-193X(21)00068-5/fulltext","volume":"3","author":[{"family":"Shultz","given":"James M."},{"family":"Berg","given":"Ryan C."},{"family":"Acevedo","given":"Oscar Alberto Bernal"},{"family":"Cañas","given":"Jovana Alexandra Ocampo"},{"family":"Escobar","given":"Victoria A. Pinilla"},{"family":"Muñoz","given":"Omar"},{"family":"Espinel","given":"Zelde"},{"family":"Uribe-Restrepo","given":"José Miguel"}],"accessed":{"date-parts":[["2024",7,27]]},"issued":{"date-parts":[["2021",11,1]]}}},{"id":492,"uris":["http://zotero.org/users/5785509/items/NWYP873M"],"itemData":{"id":492,"type":"article-journal","abstract":"Abstract\n            Latin America has been severely affected by the COVID-19 pandemic but estimations of rates of infections are very limited and lack the level of detail required to guide policy decisions. We implemented a COVID-19 sentinel surveillance study with 59,770 RT-PCR tests on mostly asymptomatic individuals and combine this data with administrative records on all detected cases to capture the spread and dynamics of the COVID-19 pandemic in Bogota from June 2020 to early March 2021. We describe various features of the pandemic that appear to be specific to a middle income countries. We find that, by March 2021, slightly more than half of the population in Bogota has been infected, despite only a small fraction of this population being detected. The initial buildup of immunity contributed to the containment of the pandemic in the first and second waves. We also show that the share of the population infected by March 2021 varies widely by occupation, socio-economic stratum, and location. This, in turn, has affected the dynamics of the spread with different groups being infected in the two waves.","container-title":"Nature Communications","DOI":"10.1038/s41467-021-25038-z","ISSN":"2041-1723","issue":"1","journalAbbreviation":"Nat Commun","language":"en","page":"4726","source":"DOI.org (Crossref)","title":"COVID-19 spread, detection, and dynamics in Bogota, Colombia","URL":"https://www.nature.com/articles/s41467-021-25038-z","volume":"12","author":[{"family":"Laajaj","given":"Rachid"},{"family":"De Los Rios","given":"Camilo"},{"family":"Sarmiento-Barbieri","given":"Ignacio"},{"family":"Aristizabal","given":"Danilo"},{"family":"Behrentz","given":"Eduardo"},{"family":"Bernal","given":"Raquel"},{"family":"Buitrago","given":"Giancarlo"},{"family":"Cucunubá","given":"Zulma"},{"family":"Hoz","given":"Fernando","non-dropping-particle":"de la"},{"family":"Gaviria","given":"Alejandro"},{"family":"Hernández","given":"Luis Jorge"},{"family":"León","given":"Leonardo"},{"family":"Moyano","given":"Diane"},{"family":"Osorio","given":"Elkin"},{"family":"Varela","given":"Andrea Ramírez"},{"family":"Restrepo","given":"Silvia"},{"family":"Rodriguez","given":"Rodrigo"},{"family":"Schady","given":"Norbert"},{"family":"Vives","given":"Martha"},{"family":"Webb","given":"Duncan"}],"accessed":{"date-parts":[["2022",4,2]]},"issued":{"date-parts":[["2021",12]]}}}],"schema":"https://github.com/citation-style-language/schema/raw/master/csl-citation.json"} </w:instrText>
      </w:r>
      <w:r w:rsidR="00C04A8D" w:rsidRPr="00C316F8">
        <w:rPr>
          <w:rFonts w:cstheme="minorHAnsi"/>
          <w:sz w:val="24"/>
          <w:szCs w:val="24"/>
        </w:rPr>
        <w:fldChar w:fldCharType="separate"/>
      </w:r>
      <w:r w:rsidR="002063BA" w:rsidRPr="00C316F8">
        <w:rPr>
          <w:rFonts w:ascii="Calibri" w:hAnsi="Calibri" w:cs="Calibri"/>
          <w:sz w:val="24"/>
          <w:lang w:val="es-CO"/>
        </w:rPr>
        <w:t>(63,102,103)</w:t>
      </w:r>
      <w:r w:rsidR="00C04A8D" w:rsidRPr="00C316F8">
        <w:rPr>
          <w:rFonts w:cstheme="minorHAnsi"/>
          <w:sz w:val="24"/>
          <w:szCs w:val="24"/>
        </w:rPr>
        <w:fldChar w:fldCharType="end"/>
      </w:r>
    </w:p>
    <w:p w14:paraId="6B924A5E" w14:textId="0657670E" w:rsidR="00C04A8D" w:rsidRPr="00C316F8" w:rsidRDefault="00BE0F0F" w:rsidP="003B711F">
      <w:pPr>
        <w:jc w:val="both"/>
        <w:rPr>
          <w:rFonts w:cstheme="minorHAnsi"/>
          <w:sz w:val="24"/>
          <w:szCs w:val="24"/>
          <w:lang w:val="es-CO"/>
        </w:rPr>
      </w:pPr>
      <w:r w:rsidRPr="00C316F8">
        <w:rPr>
          <w:rFonts w:cstheme="minorHAnsi"/>
          <w:sz w:val="24"/>
          <w:szCs w:val="24"/>
          <w:lang w:val="es-CO"/>
        </w:rPr>
        <w:t xml:space="preserve">La falta de cobertura en salud restringe el acceso a servicios médicos y preventivos, aumentando así el riesgo de complicaciones y enfermedades no tratadas. Este escenario pone en evidencia las desigualdades socioeconómicas, exacerbando las brechas en salud. Según cifras del DANE, la prevalencia de no afiliación al sistema de salud fue del </w:t>
      </w:r>
      <w:r w:rsidR="00615C7C" w:rsidRPr="00C316F8">
        <w:rPr>
          <w:rFonts w:cstheme="minorHAnsi"/>
          <w:sz w:val="24"/>
          <w:szCs w:val="24"/>
          <w:lang w:val="es-CO"/>
        </w:rPr>
        <w:t>10,8%</w:t>
      </w:r>
      <w:r w:rsidRPr="00C316F8">
        <w:rPr>
          <w:rFonts w:cstheme="minorHAnsi"/>
          <w:sz w:val="24"/>
          <w:szCs w:val="24"/>
          <w:lang w:val="es-CO"/>
        </w:rPr>
        <w:t xml:space="preserve"> en 2020, del </w:t>
      </w:r>
      <w:r w:rsidR="00615C7C" w:rsidRPr="00C316F8">
        <w:rPr>
          <w:rFonts w:cstheme="minorHAnsi"/>
          <w:sz w:val="24"/>
          <w:szCs w:val="24"/>
          <w:lang w:val="es-CO"/>
        </w:rPr>
        <w:t>10,1%</w:t>
      </w:r>
      <w:r w:rsidRPr="00C316F8">
        <w:rPr>
          <w:rFonts w:cstheme="minorHAnsi"/>
          <w:sz w:val="24"/>
          <w:szCs w:val="24"/>
          <w:lang w:val="es-CO"/>
        </w:rPr>
        <w:t xml:space="preserve"> en 2021 y del </w:t>
      </w:r>
      <w:r w:rsidR="00615C7C" w:rsidRPr="00C316F8">
        <w:rPr>
          <w:rFonts w:cstheme="minorHAnsi"/>
          <w:sz w:val="24"/>
          <w:szCs w:val="24"/>
          <w:lang w:val="es-CO"/>
        </w:rPr>
        <w:t>8,4%</w:t>
      </w:r>
      <w:r w:rsidRPr="00C316F8">
        <w:rPr>
          <w:rFonts w:cstheme="minorHAnsi"/>
          <w:sz w:val="24"/>
          <w:szCs w:val="24"/>
          <w:lang w:val="es-CO"/>
        </w:rPr>
        <w:t xml:space="preserve"> en 2022</w:t>
      </w:r>
      <w:r w:rsidR="0045292C" w:rsidRPr="00C316F8">
        <w:rPr>
          <w:rFonts w:cstheme="minorHAnsi"/>
          <w:sz w:val="24"/>
          <w:szCs w:val="24"/>
          <w:lang w:val="es-CO"/>
        </w:rPr>
        <w:t>.</w:t>
      </w:r>
      <w:r w:rsidR="00C04A8D" w:rsidRPr="00C316F8">
        <w:rPr>
          <w:rFonts w:cstheme="minorHAnsi"/>
          <w:sz w:val="24"/>
          <w:szCs w:val="24"/>
          <w:lang w:val="es-CO"/>
        </w:rPr>
        <w:t xml:space="preserve"> </w:t>
      </w:r>
      <w:r w:rsidR="00C04A8D"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{"citationID":"DlpocrUP","properties":{"formattedCitation":"(83)","plainCitation":"(83)","noteIndex":0},"citationItems":[{"id":405,"uris":["http://zotero.org/users/5785509/items/RIS5MNAN"],"itemData":{"id":405,"type":"webpage","title":"DANE - Pobreza multidimensional","URL":"https://www.dane.gov.co/index.php/estadisticas-por-tema/pobreza-y-condiciones-de-vida/pobreza-multidimensional","accessed":{"date-parts":[["2023",6,12]]}}}],"schema":"https://github.com/citation-style-language/schema/raw/master/csl-citation.json"} </w:instrText>
      </w:r>
      <w:r w:rsidR="00C04A8D" w:rsidRPr="00C316F8">
        <w:rPr>
          <w:rFonts w:cstheme="minorHAnsi"/>
          <w:sz w:val="24"/>
          <w:szCs w:val="24"/>
        </w:rPr>
        <w:fldChar w:fldCharType="separate"/>
      </w:r>
      <w:r w:rsidR="002063BA" w:rsidRPr="00C316F8">
        <w:rPr>
          <w:rFonts w:ascii="Calibri" w:hAnsi="Calibri" w:cs="Calibri"/>
          <w:sz w:val="24"/>
          <w:lang w:val="es-CO"/>
        </w:rPr>
        <w:t>(83)</w:t>
      </w:r>
      <w:r w:rsidR="00C04A8D" w:rsidRPr="00C316F8">
        <w:rPr>
          <w:rFonts w:cstheme="minorHAnsi"/>
          <w:sz w:val="24"/>
          <w:szCs w:val="24"/>
        </w:rPr>
        <w:fldChar w:fldCharType="end"/>
      </w:r>
    </w:p>
    <w:p w14:paraId="70117205" w14:textId="18B5F30B" w:rsidR="00363159" w:rsidRPr="00C316F8" w:rsidRDefault="00650A93" w:rsidP="003B711F">
      <w:pPr>
        <w:jc w:val="both"/>
        <w:rPr>
          <w:rFonts w:cstheme="minorHAnsi"/>
          <w:sz w:val="24"/>
          <w:szCs w:val="24"/>
          <w:lang w:val="es-CO"/>
        </w:rPr>
      </w:pPr>
      <w:r w:rsidRPr="00C316F8">
        <w:rPr>
          <w:rFonts w:eastAsia="Calibri" w:cstheme="minorHAnsi"/>
          <w:sz w:val="24"/>
          <w:szCs w:val="24"/>
          <w:lang w:val="es-CO"/>
        </w:rPr>
        <w:lastRenderedPageBreak/>
        <w:t xml:space="preserve">Las investigaciones han señalado que las condiciones habitacionales, como el hacinamiento crítico y el uso de materiales inadecuados en el piso de las viviendas, tuvieron un impacto significativo en la mortalidad por COVID-19 durante los años 2020 y 2021 </w:t>
      </w:r>
      <w:r w:rsidR="00C04A8D"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{"citationID":"CJ6HxbxI","properties":{"formattedCitation":"(104,105)","plainCitation":"(104,105)","noteIndex":0},"citationItems":[{"id":1623,"uris":["http://zotero.org/users/5785509/items/CVUTYTD7"],"itemData":{"id":1623,"type":"article-journal","abstract":"&lt;p&gt;The abysmal health of the urban poor or slum dwellers was attributed to structural inequities such as inadequate housing, water, and sanitation. This review aimed to assess housing-related opportunities and challenges during the COVID-19 pandemic among urban poor in low-and middle-income countries. For study identification, a comprehensive search was performed in 11 databases that yielded 22 potential studies. The inadequate housing infrastructure makes the lives of the urban poor more precarious during COVID-19. Typically, the houses lacked lighting, ventilation, and overcrowding. This review reflected that it is crucial to reimagine housing policy for the urban poor with an emphasis on pandemic/epidemic guidelines.&lt;/p&gt;","container-title":"Frontiers in Public Health","DOI":"10.3389/fpubh.2022.1029394","ISSN":"2296-2565","journalAbbreviation":"Front. Public Health","language":"English","publisher":"Frontiers","source":"Frontiers","title":"Housing-related challenges during COVID-19 pandemic among urban poor in low- and middle-income countries: A systematic review and gap analysis","title-short":"Housing-related challenges during COVID-19 pandemic among urban poor in low- and middle-income countries","URL":"https://www.frontiersin.org/journals/public-health/articles/10.3389/fpubh.2022.1029394/full","volume":"10","author":[{"family":"Dubey","given":"Shubhankar"},{"family":"Sahoo","given":"Krushna Chandra"},{"family":"Dash","given":"Girish Chandra"},{"family":"Sahay","given":"Mili Roopchand"},{"family":"Mahapatra","given":"Pranab"},{"family":"Bhattacharya","given":"Debdutta"},{"family":"Barrio","given":"Mariam Otmani","dropping-particle":"del"},{"family":"Pati","given":"Sanghamitra"}],"accessed":{"date-parts":[["2024",7,27]]},"issued":{"date-parts":[["2022",9,23]]}}},{"id":1621,"uris":["http://zotero.org/users/5785509/items/YVGWGPAW"],"itemData":{"id":1621,"type":"article-journal","abstract":"Overcrowded housing is a sociodemographic variable associated with increased infection and mortality rates from communicable diseases. It is not well understood if this association exists for COVID-19. Our objective was hence to determine the association between household overcrowding and risk of mortality from COVID-19, and this was done by performing bivariable and multivariable analyses using COVID-19 data from cities in Los Angeles County.","container-title":"BMC Research Notes","DOI":"10.1186/s13104-022-06015-1","ISSN":"1756-0500","issue":"1","journalAbbreviation":"BMC Res Notes","language":"en","page":"126","source":"Springer Link","title":"Overcrowded housing increases risk for COVID-19 mortality: an ecological study","title-short":"Overcrowded housing increases risk for COVID-19 mortality","URL":"https://doi.org/10.1186/s13104-022-06015-1","volume":"15","author":[{"family":"Varshney","given":"Karan"},{"family":"Glodjo","given":"Talia"},{"family":"Adalbert","given":"Jenna"}],"accessed":{"date-parts":[["2024",7,27]]},"issued":{"date-parts":[["2022",4,5]]}}}],"schema":"https://github.com/citation-style-language/schema/raw/master/csl-citation.json"} </w:instrText>
      </w:r>
      <w:r w:rsidR="00C04A8D" w:rsidRPr="00C316F8">
        <w:rPr>
          <w:rFonts w:cstheme="minorHAnsi"/>
          <w:sz w:val="24"/>
          <w:szCs w:val="24"/>
        </w:rPr>
        <w:fldChar w:fldCharType="separate"/>
      </w:r>
      <w:r w:rsidR="00C34B4F" w:rsidRPr="00C316F8">
        <w:rPr>
          <w:rFonts w:ascii="Calibri" w:hAnsi="Calibri" w:cs="Calibri"/>
          <w:sz w:val="24"/>
          <w:lang w:val="es-CO"/>
        </w:rPr>
        <w:t>(104,105)</w:t>
      </w:r>
      <w:r w:rsidR="00C04A8D" w:rsidRPr="00C316F8">
        <w:rPr>
          <w:rFonts w:cstheme="minorHAnsi"/>
          <w:sz w:val="24"/>
          <w:szCs w:val="24"/>
        </w:rPr>
        <w:fldChar w:fldCharType="end"/>
      </w:r>
      <w:r w:rsidR="00C04A8D" w:rsidRPr="00C316F8">
        <w:rPr>
          <w:rFonts w:cstheme="minorHAnsi"/>
          <w:sz w:val="24"/>
          <w:szCs w:val="24"/>
          <w:lang w:val="es-CO"/>
        </w:rPr>
        <w:t xml:space="preserve">. </w:t>
      </w:r>
      <w:r w:rsidR="00363159" w:rsidRPr="00C316F8">
        <w:rPr>
          <w:rFonts w:cstheme="minorHAnsi"/>
          <w:sz w:val="24"/>
          <w:szCs w:val="24"/>
          <w:lang w:val="es-CO"/>
        </w:rPr>
        <w:t>La planificación urbana y las políticas públicas deben garantizar que la infraestructura de vivienda cumpla con los estándares básicos de habitabilidad y salud.</w:t>
      </w:r>
    </w:p>
    <w:p w14:paraId="2562EA11" w14:textId="0A31AC0A" w:rsidR="00C04A8D" w:rsidRPr="00C316F8" w:rsidRDefault="006E7CC9" w:rsidP="003B711F">
      <w:pPr>
        <w:jc w:val="both"/>
        <w:rPr>
          <w:rFonts w:cstheme="minorHAnsi"/>
          <w:sz w:val="24"/>
          <w:szCs w:val="24"/>
          <w:lang w:val="es-CO"/>
        </w:rPr>
      </w:pPr>
      <w:r w:rsidRPr="00C316F8">
        <w:rPr>
          <w:rFonts w:cstheme="minorHAnsi"/>
          <w:sz w:val="24"/>
          <w:szCs w:val="24"/>
          <w:lang w:val="es-CO"/>
        </w:rPr>
        <w:t xml:space="preserve">Además, la falta de acceso a fuentes mejoradas de agua y la disposición inadecuada de excretas se asociaron con la mortalidad en 2021 y 2022. La cobertura del suministro de agua en las zonas urbanas alcanzó el 97,9%, mientras que en las zonas rurales fue del 71,54%. La disposición inadecuada de excretas continúa siendo una variable significativa, reflejando las desigualdades en el acceso a servicios básicos de saneamiento y su impacto en los desenlaces en salud durante la pandemia </w:t>
      </w:r>
      <w:r w:rsidR="00C04A8D"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{"citationID":"or9qHkOT","properties":{"formattedCitation":"(106)","plainCitation":"(106)","noteIndex":0},"citationItems":[{"id":1463,"uris":["http://zotero.org/users/5785509/items/3Z5WQNPP"],"itemData":{"id":1463,"type":"article-journal","container-title":"PLoS One","ISSN":"1932-6203","issue":"2","journalAbbreviation":"PLoS One","page":"e0264137","publisher":"Public Library of Science San Francisco, CA USA","title":"Association between living in municipalities with high crowding conditions and poverty and mortality from COVID-19 in Mexico","volume":"17","author":[{"family":"Ríos","given":"Viridiana"},{"family":"Denova-Gutiérrez","given":"Edgar"},{"family":"Barquera","given":"Simón"}],"issued":{"date-parts":[["2022"]]}}}],"schema":"https://github.com/citation-style-language/schema/raw/master/csl-citation.json"} </w:instrText>
      </w:r>
      <w:r w:rsidR="00C04A8D" w:rsidRPr="00C316F8">
        <w:rPr>
          <w:rFonts w:cstheme="minorHAnsi"/>
          <w:sz w:val="24"/>
          <w:szCs w:val="24"/>
        </w:rPr>
        <w:fldChar w:fldCharType="separate"/>
      </w:r>
      <w:r w:rsidR="00C34B4F" w:rsidRPr="00C316F8">
        <w:rPr>
          <w:rFonts w:ascii="Calibri" w:hAnsi="Calibri" w:cs="Calibri"/>
          <w:sz w:val="24"/>
          <w:lang w:val="es-CO"/>
        </w:rPr>
        <w:t>(106)</w:t>
      </w:r>
      <w:r w:rsidR="00C04A8D" w:rsidRPr="00C316F8">
        <w:rPr>
          <w:rFonts w:cstheme="minorHAnsi"/>
          <w:sz w:val="24"/>
          <w:szCs w:val="24"/>
        </w:rPr>
        <w:fldChar w:fldCharType="end"/>
      </w:r>
      <w:r w:rsidR="00C04A8D" w:rsidRPr="00C316F8">
        <w:rPr>
          <w:rFonts w:cstheme="minorHAnsi"/>
          <w:sz w:val="24"/>
          <w:szCs w:val="24"/>
          <w:lang w:val="es-CO"/>
        </w:rPr>
        <w:t xml:space="preserve">. </w:t>
      </w:r>
      <w:r w:rsidRPr="00C316F8">
        <w:rPr>
          <w:rFonts w:eastAsia="Calibri" w:cstheme="minorHAnsi"/>
          <w:sz w:val="24"/>
          <w:szCs w:val="24"/>
          <w:lang w:val="es-CO"/>
        </w:rPr>
        <w:t xml:space="preserve">Con respecto al alcantarillado, el 92,85% de las zonas urbanas y el 73,88% de las zonas rurales cuentan con cobertura </w:t>
      </w:r>
      <w:r w:rsidR="00C04A8D"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cz6IKOSb","properties":{"formattedCitation":"(107)","plainCitation":"(107)","noteIndex":0},"citationItems":[{"id":1483,"uris":["http://zotero.org/users/5785509/items/BQLZJ36F"],"itemData":{"id":1483,"type":"article-journal","container-title":"Cliometrica","ISSN":"1863-2505","issue":"3","journalAbbreviation":"Cliometrica","page":"323-366","publisher":"Springer","title":"More than 100 years of improvements in living standards: the case of Colombia","volume":"13","author":[{"family":"Jaramillo-Echeverri","given":"Juliana"},{"family":"Meisel-Roca","given":"Adolfo"},{"family":"Ramírez-Giraldo","given":"María Teresa"}],"issued":{"date-parts":[["2019"]]}}}],"schema":"https://github.com/citation-style-language/schema/raw/master/csl-citation.json"} </w:instrText>
      </w:r>
      <w:r w:rsidR="00C04A8D" w:rsidRPr="00C316F8">
        <w:rPr>
          <w:rFonts w:cstheme="minorHAnsi"/>
          <w:sz w:val="24"/>
          <w:szCs w:val="24"/>
        </w:rPr>
        <w:fldChar w:fldCharType="separate"/>
      </w:r>
      <w:r w:rsidR="00C34B4F" w:rsidRPr="00C316F8">
        <w:rPr>
          <w:rFonts w:ascii="Calibri" w:hAnsi="Calibri" w:cs="Calibri"/>
          <w:sz w:val="24"/>
          <w:lang w:val="es-CO"/>
        </w:rPr>
        <w:t>(107)</w:t>
      </w:r>
      <w:r w:rsidR="00C04A8D" w:rsidRPr="00C316F8">
        <w:rPr>
          <w:rFonts w:cstheme="minorHAnsi"/>
          <w:sz w:val="24"/>
          <w:szCs w:val="24"/>
        </w:rPr>
        <w:fldChar w:fldCharType="end"/>
      </w:r>
      <w:r w:rsidR="00C04A8D" w:rsidRPr="00C316F8">
        <w:rPr>
          <w:rFonts w:cstheme="minorHAnsi"/>
          <w:sz w:val="24"/>
          <w:szCs w:val="24"/>
          <w:lang w:val="es-CO"/>
        </w:rPr>
        <w:t xml:space="preserve">. </w:t>
      </w:r>
      <w:r w:rsidR="00A84FB2" w:rsidRPr="00C316F8">
        <w:rPr>
          <w:rFonts w:cstheme="minorHAnsi"/>
          <w:sz w:val="24"/>
          <w:szCs w:val="24"/>
          <w:lang w:val="es-CO"/>
        </w:rPr>
        <w:t xml:space="preserve">Además, la construcción de acueductos y la disposición adecuada de excretas en Colombia ha demostrado ser </w:t>
      </w:r>
      <w:r w:rsidR="00615C7C" w:rsidRPr="00C316F8">
        <w:rPr>
          <w:rFonts w:cstheme="minorHAnsi"/>
          <w:sz w:val="24"/>
          <w:szCs w:val="24"/>
          <w:lang w:val="es-CO"/>
        </w:rPr>
        <w:t>eficaces</w:t>
      </w:r>
      <w:r w:rsidR="00A84FB2" w:rsidRPr="00C316F8">
        <w:rPr>
          <w:rFonts w:cstheme="minorHAnsi"/>
          <w:sz w:val="24"/>
          <w:szCs w:val="24"/>
          <w:lang w:val="es-CO"/>
        </w:rPr>
        <w:t xml:space="preserve"> en la prevención de pandemias </w:t>
      </w:r>
      <w:r w:rsidR="00C04A8D"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{"citationID":"lZeRhND2","properties":{"formattedCitation":"(108)","plainCitation":"(108)","noteIndex":0},"citationItems":[{"id":1484,"uris":["http://zotero.org/users/5785509/items/3I7WDP97"],"itemData":{"id":1484,"type":"article-journal","container-title":"Revista de Ingeniería","DOI":"10.16924/revinge.49.5","ISSN":"0121-4993, 2011-0049","issue":"49","journalAbbreviation":"Revista de Ingeniería","language":"es","page":"28-37","source":"DOI.org (Crossref)","title":"LOS RETOS DEL ACCESO A AGUA POTABLE Y SANEAMIENTO BÁSICO DE LAS ZONAS RURALES EN COLOMBIA","URL":"https://revistas.uniandes.edu.co/index.php/rdi/article/view/7488","author":[{"family":"Moreno Méndez","given":"Javier Orlando"}],"accessed":{"date-parts":[["2024",4,9]]},"issued":{"date-parts":[["2020",1]]}}}],"schema":"https://github.com/citation-style-language/schema/raw/master/csl-citation.json"} </w:instrText>
      </w:r>
      <w:r w:rsidR="00C04A8D" w:rsidRPr="00C316F8">
        <w:rPr>
          <w:rFonts w:cstheme="minorHAnsi"/>
          <w:sz w:val="24"/>
          <w:szCs w:val="24"/>
        </w:rPr>
        <w:fldChar w:fldCharType="separate"/>
      </w:r>
      <w:r w:rsidR="00C34B4F" w:rsidRPr="00C316F8">
        <w:rPr>
          <w:rFonts w:ascii="Calibri" w:hAnsi="Calibri" w:cs="Calibri"/>
          <w:sz w:val="24"/>
          <w:lang w:val="es-CO"/>
        </w:rPr>
        <w:t>(108)</w:t>
      </w:r>
      <w:r w:rsidR="00C04A8D" w:rsidRPr="00C316F8">
        <w:rPr>
          <w:rFonts w:cstheme="minorHAnsi"/>
          <w:sz w:val="24"/>
          <w:szCs w:val="24"/>
        </w:rPr>
        <w:fldChar w:fldCharType="end"/>
      </w:r>
      <w:r w:rsidR="00C04A8D" w:rsidRPr="00C316F8">
        <w:rPr>
          <w:rFonts w:cstheme="minorHAnsi"/>
          <w:sz w:val="24"/>
          <w:szCs w:val="24"/>
          <w:lang w:val="es-CO"/>
        </w:rPr>
        <w:t xml:space="preserve">. </w:t>
      </w:r>
      <w:r w:rsidR="00CE3D8E" w:rsidRPr="00C316F8">
        <w:rPr>
          <w:rFonts w:cstheme="minorHAnsi"/>
          <w:sz w:val="24"/>
          <w:szCs w:val="24"/>
          <w:lang w:val="es-CO"/>
        </w:rPr>
        <w:t>A pesar de las mejoras en estos indicadores en los últimos años, estas variables siguen estando asociadas con las tasas de mortalidad por COVID-19</w:t>
      </w:r>
      <w:r w:rsidR="00C04A8D" w:rsidRPr="00C316F8">
        <w:rPr>
          <w:rFonts w:cstheme="minorHAnsi"/>
          <w:sz w:val="24"/>
          <w:szCs w:val="24"/>
          <w:lang w:val="es-CO"/>
        </w:rPr>
        <w:t>.</w:t>
      </w:r>
    </w:p>
    <w:p w14:paraId="4EAE7381" w14:textId="77777777" w:rsidR="00711D86" w:rsidRPr="00C316F8" w:rsidRDefault="00711D86" w:rsidP="003B711F">
      <w:pPr>
        <w:jc w:val="both"/>
        <w:rPr>
          <w:rFonts w:cstheme="minorHAnsi"/>
          <w:sz w:val="24"/>
          <w:szCs w:val="24"/>
          <w:lang w:val="es-CO"/>
        </w:rPr>
      </w:pPr>
      <w:r w:rsidRPr="00C316F8">
        <w:rPr>
          <w:rFonts w:cstheme="minorHAnsi"/>
          <w:sz w:val="24"/>
          <w:szCs w:val="24"/>
          <w:lang w:val="es-CO"/>
        </w:rPr>
        <w:t>Las limitaciones de este estudio incluyen la calidad y disponibilidad inconsistente o incompleta de los datos en algunos municipios. La población no fue desagregada por sexo debido a la necesidad de priorizar un análisis general que permitiera abordar tendencias y problemáticas más amplias, asegurando la inclusión de todas las dimensiones poblacionales para obtener una visión holística de los impactos de la pandemia. La falta de datos longitudinales detallados y la variabilidad en las respuestas locales frente a la pandemia también representan desafíos importantes. Factores de confusión, como la movilidad poblacional y las prácticas culturales, podrían haber influido en los resultados. Adicionalmente, el estudio no incorpora variables relacionadas con los servicios de salud, las cuales podrían tener un impacto significativo en la mortalidad por COVID-19.</w:t>
      </w:r>
    </w:p>
    <w:p w14:paraId="3A2D0A26" w14:textId="77777777" w:rsidR="00D961A3" w:rsidRPr="00C316F8" w:rsidRDefault="00D961A3">
      <w:pPr>
        <w:rPr>
          <w:rFonts w:cstheme="minorHAnsi"/>
          <w:bCs/>
          <w:sz w:val="24"/>
          <w:szCs w:val="24"/>
          <w:lang w:val="es-CO"/>
        </w:rPr>
      </w:pPr>
      <w:r w:rsidRPr="00C316F8">
        <w:rPr>
          <w:rFonts w:cstheme="minorHAnsi"/>
          <w:bCs/>
          <w:sz w:val="24"/>
          <w:szCs w:val="24"/>
          <w:lang w:val="es-CO"/>
        </w:rPr>
        <w:br w:type="page"/>
      </w:r>
    </w:p>
    <w:p w14:paraId="6CEB24A6" w14:textId="233A5C9F" w:rsidR="00D961A3" w:rsidRPr="00C316F8" w:rsidRDefault="00D961A3" w:rsidP="003D695D">
      <w:pPr>
        <w:pStyle w:val="Ttulo1"/>
        <w:numPr>
          <w:ilvl w:val="0"/>
          <w:numId w:val="2"/>
        </w:numPr>
        <w:jc w:val="both"/>
        <w:rPr>
          <w:lang w:val="es-CO"/>
        </w:rPr>
      </w:pPr>
      <w:bookmarkStart w:id="60" w:name="_Toc229834664"/>
      <w:r w:rsidRPr="00C316F8">
        <w:rPr>
          <w:lang w:val="es-CO"/>
        </w:rPr>
        <w:lastRenderedPageBreak/>
        <w:t>MORTALIDAD POR COVID-19 ASOCIADA CON POBREZA MULTIDIMENSIONAL, ETNIAS Y CONFLICTO ARMADO EN COLOMBIA: ESTUDIO OBSERVACIONAL RETROSPECTIVO BASADO EN REGISTROS NACIONALES.</w:t>
      </w:r>
      <w:bookmarkEnd w:id="60"/>
    </w:p>
    <w:p w14:paraId="13E9F423" w14:textId="77777777" w:rsidR="00D961A3" w:rsidRPr="00C316F8" w:rsidRDefault="00D961A3" w:rsidP="00D961A3">
      <w:pPr>
        <w:jc w:val="both"/>
        <w:rPr>
          <w:rFonts w:cstheme="minorHAnsi"/>
          <w:sz w:val="24"/>
          <w:szCs w:val="24"/>
          <w:lang w:val="es-CO"/>
        </w:rPr>
      </w:pPr>
    </w:p>
    <w:p w14:paraId="6BF9D4E8" w14:textId="1E8EA795" w:rsidR="00D961A3" w:rsidRPr="00C316F8" w:rsidRDefault="003D695D" w:rsidP="00D961A3">
      <w:pPr>
        <w:pStyle w:val="Ttulo1"/>
        <w:rPr>
          <w:lang w:val="es-CO"/>
        </w:rPr>
      </w:pPr>
      <w:bookmarkStart w:id="61" w:name="_Toc229834665"/>
      <w:r w:rsidRPr="00C316F8">
        <w:rPr>
          <w:lang w:val="es-CO"/>
        </w:rPr>
        <w:t>7</w:t>
      </w:r>
      <w:r w:rsidR="00D961A3" w:rsidRPr="00C316F8">
        <w:rPr>
          <w:lang w:val="es-CO"/>
        </w:rPr>
        <w:t>.1</w:t>
      </w:r>
      <w:r w:rsidR="00D961A3" w:rsidRPr="00C316F8">
        <w:rPr>
          <w:lang w:val="es-CO"/>
        </w:rPr>
        <w:tab/>
        <w:t>RESUMEN</w:t>
      </w:r>
      <w:bookmarkEnd w:id="61"/>
    </w:p>
    <w:p w14:paraId="6A69A664" w14:textId="77777777" w:rsidR="00D961A3" w:rsidRPr="00C316F8" w:rsidRDefault="00D961A3" w:rsidP="00D961A3">
      <w:pPr>
        <w:rPr>
          <w:lang w:val="es-CO"/>
        </w:rPr>
      </w:pPr>
    </w:p>
    <w:p w14:paraId="722140A3" w14:textId="77777777" w:rsidR="00D961A3" w:rsidRPr="00C316F8" w:rsidRDefault="00D961A3" w:rsidP="00D961A3">
      <w:pPr>
        <w:jc w:val="both"/>
        <w:rPr>
          <w:rFonts w:cstheme="minorHAnsi"/>
          <w:sz w:val="24"/>
          <w:szCs w:val="24"/>
          <w:lang w:val="es-CO"/>
        </w:rPr>
      </w:pPr>
      <w:r w:rsidRPr="00C316F8">
        <w:rPr>
          <w:sz w:val="24"/>
          <w:szCs w:val="24"/>
          <w:lang w:val="es-CO"/>
        </w:rPr>
        <w:t xml:space="preserve">Antecedentes: </w:t>
      </w:r>
      <w:r w:rsidRPr="00C316F8">
        <w:rPr>
          <w:rFonts w:cstheme="minorHAnsi"/>
          <w:sz w:val="24"/>
          <w:szCs w:val="24"/>
          <w:lang w:val="es-CO"/>
        </w:rPr>
        <w:t>La pandemia de COVID-19 en Colombia expuso la interacción entre la pobreza multidimensional, la diversidad étnica y el conflicto armado. Esta crisis agravó las desigualdades, afectando de manera desproporcionada a las comunidades afrocolombianas e indígenas que ya vivían en condiciones adversas. El conflicto armado debilitó aún más el capital social, limitando el bienestar en regiones pobres y violentas. Este estudio tuvo como objetivo investigar las asociaciones entre la pobreza, la etnicidad y las zonas de conflicto con la mortalidad por COVID-19.</w:t>
      </w:r>
    </w:p>
    <w:p w14:paraId="00B9A627" w14:textId="77777777" w:rsidR="00D961A3" w:rsidRPr="00C316F8" w:rsidRDefault="00D961A3" w:rsidP="00D961A3">
      <w:pPr>
        <w:jc w:val="both"/>
        <w:rPr>
          <w:rFonts w:cstheme="minorHAnsi"/>
          <w:sz w:val="24"/>
          <w:szCs w:val="24"/>
          <w:lang w:val="es-CO"/>
        </w:rPr>
      </w:pPr>
      <w:r w:rsidRPr="00C316F8">
        <w:rPr>
          <w:sz w:val="24"/>
          <w:szCs w:val="24"/>
          <w:lang w:val="es-CO"/>
        </w:rPr>
        <w:t xml:space="preserve">Métodos: </w:t>
      </w:r>
      <w:r w:rsidRPr="00C316F8">
        <w:rPr>
          <w:rFonts w:cstheme="minorHAnsi"/>
          <w:sz w:val="24"/>
          <w:szCs w:val="24"/>
          <w:lang w:val="es-CO"/>
        </w:rPr>
        <w:t>Se realizó un estudio observacional retrospectivo basado en registros nacionales en Colombia, desde marzo de 2020 hasta diciembre de 2022, en el que se analizaron los casos de COVID-19 confirmados por pruebas PCR o de antígenos. Los datos demográficos, étnicos y de mortalidad se obtuvieron del Instituto Nacional de Salud, mientras que los datos de pobreza se tomaron del censo de 2018 del DANE. Se realizaron análisis descriptivos, pruebas chi-cuadrado y análisis bivariados. Un modelo de regresión logística multinivel identificó los factores de riesgo, reportando razones de momios (OR) con intervalos de confianza (IC) del 95%.</w:t>
      </w:r>
    </w:p>
    <w:p w14:paraId="6D27E03C" w14:textId="77777777" w:rsidR="00D961A3" w:rsidRPr="00C316F8" w:rsidRDefault="00D961A3" w:rsidP="00D961A3">
      <w:pPr>
        <w:jc w:val="both"/>
        <w:rPr>
          <w:rFonts w:cstheme="minorHAnsi"/>
          <w:sz w:val="24"/>
          <w:szCs w:val="24"/>
          <w:lang w:val="es-CO"/>
        </w:rPr>
      </w:pPr>
      <w:r w:rsidRPr="00C316F8">
        <w:rPr>
          <w:lang w:val="es-CO"/>
        </w:rPr>
        <w:t>Resultados:</w:t>
      </w:r>
      <w:r w:rsidRPr="00C316F8">
        <w:rPr>
          <w:rStyle w:val="Ttulo2Car"/>
          <w:b w:val="0"/>
          <w:bCs/>
          <w:szCs w:val="24"/>
        </w:rPr>
        <w:t xml:space="preserve"> </w:t>
      </w:r>
      <w:r w:rsidRPr="00C316F8">
        <w:rPr>
          <w:rFonts w:cstheme="minorHAnsi"/>
          <w:sz w:val="24"/>
          <w:szCs w:val="24"/>
          <w:lang w:val="es-CO"/>
        </w:rPr>
        <w:t>Entre marzo de 2020 y diciembre de 2022, se registraron 6.313.872 casos de COVID-19 en Colombia. Las personas afrocolombianas (2,58%) y los pueblos indígenas (2,75%) presentaron una mortalidad más alta que los individuos blancos/mestizos (2,24%). Los municipios ZOMAC reportaron una tasa de mortalidad de 3,61% y los municipios PDET una tasa de 3,20%. El análisis multinivel reveló mayores riesgos de mortalidad para afrocolombianos (OR 1,14; IC 95%: 1,11–1,18), pueblos indígenas (OR 1,22; IC 95%: 1,17–1,28), y residentes de municipios ZOMAC (OR 1,69; IC 95%: 1,66–1,72) y PDET (OR 1,34; IC 95%: 1,44–1,49).</w:t>
      </w:r>
    </w:p>
    <w:p w14:paraId="2DD2553C" w14:textId="5FCE1E68" w:rsidR="00D961A3" w:rsidRPr="00C316F8" w:rsidRDefault="00D961A3" w:rsidP="00D961A3">
      <w:pPr>
        <w:jc w:val="both"/>
        <w:rPr>
          <w:rFonts w:cstheme="minorHAnsi"/>
          <w:sz w:val="24"/>
          <w:szCs w:val="24"/>
          <w:lang w:val="es-CO"/>
        </w:rPr>
      </w:pPr>
      <w:r w:rsidRPr="00C316F8">
        <w:rPr>
          <w:sz w:val="24"/>
          <w:szCs w:val="24"/>
          <w:lang w:val="es-CO"/>
        </w:rPr>
        <w:t>Conclusiones:</w:t>
      </w:r>
      <w:r w:rsidRPr="00C316F8">
        <w:rPr>
          <w:rFonts w:cstheme="minorHAnsi"/>
          <w:sz w:val="24"/>
          <w:szCs w:val="24"/>
          <w:lang w:val="es-CO"/>
        </w:rPr>
        <w:t xml:space="preserve"> Este estudio destaca las desigualdades en la mortalidad por COVID-19 influenciadas por factores étnicos, socioeconómicos y territoriales, con una mayor carga para las poblaciones afrocolombianas, indígenas y las zonas en conflicto. Las políticas de salud pública deben abordar estas desigualdades estructurales.</w:t>
      </w:r>
    </w:p>
    <w:p w14:paraId="5367050E" w14:textId="77777777" w:rsidR="005F733D" w:rsidRPr="00C316F8" w:rsidRDefault="005F733D" w:rsidP="005F733D">
      <w:pPr>
        <w:jc w:val="both"/>
        <w:rPr>
          <w:rFonts w:cstheme="minorHAnsi"/>
          <w:sz w:val="24"/>
          <w:szCs w:val="24"/>
          <w:lang w:val="es-CO"/>
        </w:rPr>
      </w:pPr>
      <w:r w:rsidRPr="00C316F8">
        <w:rPr>
          <w:rFonts w:cstheme="minorHAnsi"/>
          <w:sz w:val="24"/>
          <w:szCs w:val="24"/>
          <w:lang w:val="es-CO"/>
        </w:rPr>
        <w:t>Palabras clave: pobreza, etnia, conflictos armados, Colombia.</w:t>
      </w:r>
    </w:p>
    <w:p w14:paraId="791CB257" w14:textId="77777777" w:rsidR="00D961A3" w:rsidRPr="00C316F8" w:rsidRDefault="00D961A3" w:rsidP="00D961A3">
      <w:pPr>
        <w:jc w:val="both"/>
        <w:rPr>
          <w:rFonts w:cstheme="minorHAnsi"/>
          <w:sz w:val="24"/>
          <w:szCs w:val="24"/>
          <w:lang w:val="es-CO"/>
        </w:rPr>
      </w:pPr>
    </w:p>
    <w:p w14:paraId="5CF2A1C0" w14:textId="165B4622" w:rsidR="00D961A3" w:rsidRPr="00C316F8" w:rsidRDefault="003D695D" w:rsidP="00D961A3">
      <w:pPr>
        <w:pStyle w:val="Ttulo1"/>
        <w:rPr>
          <w:lang w:val="es-CO"/>
        </w:rPr>
      </w:pPr>
      <w:bookmarkStart w:id="62" w:name="_Toc229834666"/>
      <w:r w:rsidRPr="00C316F8">
        <w:rPr>
          <w:lang w:val="es-CO"/>
        </w:rPr>
        <w:lastRenderedPageBreak/>
        <w:t>7</w:t>
      </w:r>
      <w:r w:rsidR="00D961A3" w:rsidRPr="00C316F8">
        <w:rPr>
          <w:lang w:val="es-CO"/>
        </w:rPr>
        <w:t>.2</w:t>
      </w:r>
      <w:r w:rsidR="00D961A3" w:rsidRPr="00C316F8">
        <w:rPr>
          <w:lang w:val="es-CO"/>
        </w:rPr>
        <w:tab/>
        <w:t>INTRODUCCIÓN</w:t>
      </w:r>
      <w:bookmarkEnd w:id="62"/>
    </w:p>
    <w:p w14:paraId="63341D30" w14:textId="77777777" w:rsidR="00D961A3" w:rsidRPr="00C316F8" w:rsidRDefault="00D961A3" w:rsidP="00D961A3">
      <w:pPr>
        <w:rPr>
          <w:lang w:val="es-CO"/>
        </w:rPr>
      </w:pPr>
    </w:p>
    <w:p w14:paraId="61509D7E" w14:textId="399F81C9" w:rsidR="00D961A3" w:rsidRPr="00C316F8" w:rsidRDefault="00D961A3" w:rsidP="00D961A3">
      <w:pPr>
        <w:jc w:val="both"/>
        <w:rPr>
          <w:rFonts w:cstheme="minorHAnsi"/>
          <w:sz w:val="24"/>
          <w:szCs w:val="24"/>
          <w:lang w:val="es-CO"/>
        </w:rPr>
      </w:pPr>
      <w:r w:rsidRPr="00C316F8">
        <w:rPr>
          <w:rFonts w:cstheme="minorHAnsi"/>
          <w:sz w:val="24"/>
          <w:szCs w:val="24"/>
          <w:lang w:val="es-CO"/>
        </w:rPr>
        <w:t>La emergencia sanitaria por COVID-19 en Colombia ha impulsado ajustes significativos en las políticas públicas, las estrategias de salud y las estructuras comunitarias.</w:t>
      </w:r>
      <w:r w:rsidRPr="00C316F8">
        <w:rPr>
          <w:rFonts w:cstheme="minorHAnsi"/>
          <w:bCs/>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{"citationID":"oMd96eKI","properties":{"formattedCitation":"(109)","plainCitation":"(109)","noteIndex":0},"citationItems":[{"id":1453,"uris":["http://zotero.org/users/5785509/items/7XT64ELY"],"itemData":{"id":1453,"type":"article-journal","container-title":"Research in International Business and Finance","ISSN":"0275-5319","journalAbbreviation":"Research in International Business and Finance","page":"101359","publisher":"Elsevier","title":"COVID-19, government policy responses, and stock market liquidity around the world: A note","volume":"56","author":[{"family":"Zaremba","given":"Adam"},{"family":"Aharon","given":"David Y"},{"family":"Demir","given":"Ender"},{"family":"Kizys","given":"Renatas"},{"family":"Zawadka","given":"Dariusz"}],"issued":{"date-parts":[["2021"]]}}}],"schema":"https://github.com/citation-style-language/schema/raw/master/csl-citation.json"}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(109)</w:t>
      </w:r>
      <w:r w:rsidRPr="00C316F8">
        <w:rPr>
          <w:rFonts w:cstheme="minorHAnsi"/>
          <w:sz w:val="24"/>
          <w:szCs w:val="24"/>
        </w:rPr>
        <w:fldChar w:fldCharType="end"/>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{"citationID":"ydlTgcBv","properties":{"formattedCitation":"(110)","plainCitation":"(110)","noteIndex":0},"citationItems":[{"id":1450,"uris":["http://zotero.org/users/5785509/items/FAN392I5"],"itemData":{"id":1450,"type":"article-journal","container-title":"Canadian Journal of Economics/Revue canadienne d'économique","ISSN":"0008-4085","journalAbbreviation":"Canadian Journal of Economics/Revue canadienne d'économique","page":"308-357","publisher":"Wiley Online Library","title":"Effects of the COVID‐19 pandemic on the Colombian labour market: Disentangling the effect of sector‐specific mobility restrictions","volume":"55","author":[{"family":"Morales","given":"Leonardo Fabio"},{"family":"Bonilla‐Mejía","given":"Leonardo"},{"family":"Pulido","given":"Jose"},{"family":"Flórez","given":"Luz A"},{"family":"Hermida","given":"Didier"},{"family":"Pulido‐Mahecha","given":"Karen L"},{"family":"Lasso‐Valderrama","given":"Francisco"}],"issued":{"date-parts":[["2022"]]}}}],"schema":"https://github.com/citation-style-language/schema/raw/master/csl-citation.json"}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(110)</w:t>
      </w:r>
      <w:r w:rsidRPr="00C316F8">
        <w:rPr>
          <w:rFonts w:cstheme="minorHAnsi"/>
          <w:sz w:val="24"/>
          <w:szCs w:val="24"/>
        </w:rPr>
        <w:fldChar w:fldCharType="end"/>
      </w:r>
      <w:r w:rsidRPr="00C316F8">
        <w:rPr>
          <w:rFonts w:cstheme="minorHAnsi"/>
          <w:sz w:val="24"/>
          <w:szCs w:val="24"/>
          <w:lang w:val="es-CO"/>
        </w:rPr>
        <w:t xml:space="preserve">. Uno de los principales desafíos que enfrenta Colombia es la necesidad de reconocer cómo se entrelazan los factores sociales en un país caracterizado por una alta incidencia de pobreza multidimensional, diversidad territorial y étnica, y un conflicto armado prolongado. La pandemia de COVID-19 ha evidenciado la creciente vulnerabilidad de las comunidades, exacerbando la desigualdad social debido a la crisis económica resultante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{"citationID":"7RHfw0kI","properties":{"formattedCitation":"(111)","plainCitation":"(111)","noteIndex":0},"citationItems":[{"id":30,"uris":["http://zotero.org/users/5785509/items/CRQ9WZCZ"],"itemData":{"id":30,"type":"article-journal","abstract":"Background  The current SARS-­CoV-­2 pandemic has especially affected individuals living in conglomerate settings having poverty as common characteristic. However, evidence of the association between COVID-­19 severity and social determinants is still scarce, particularly, for Latin American countries. The objective was to assess the effect of socioeconomic deprivation in the clinical severity of COVID-­19 infection among different localities of Bogotá, Colombia. Methods  Secondary analyses using data of SARS-­ CoV-­2 infected cases in Bogotá from 6 March 2020 to 19 April 2020 were carried out. Direct and indirect indicators of deprivation at area level and individual demographic characteristics (age, sex and type of case) were included in the analyses. Findings  1684 COVID-­19 cases were included in the study. There were 217 (12.9%; 95% CI 11.3 to 14.5) serious cases, of which 32.6% (95% CI 26.4 to 38.8) cases were deceased. In the multilevel logistic regression, age, sex (female), type of case (different of imported case), number of serious cases recorded the previous day and multidimensional poverty were associated with serious cases (median OR: 1.72, 95% CI 1.56 to 1.87). Interpretation  This paper explored the association between COVID-­19 severity and social determinants. Expressions of poverty were associated with more severe cases during first 2 months of pandemic. It is a clear syndemic for the joint presentation of COVID-­19 and other comorbidities among more serious cases.","container-title":"Journal of Epidemiology and Community Health","DOI":"10.1136/jech-2020-214579","ISSN":"0143-005X, 1470-2738","issue":"2","journalAbbreviation":"J Epidemiol Community Health","language":"en","page":"116-120","source":"DOI.org (Crossref)","title":"COVID-19 distribution in Bogotá, Colombia: effect of poverty during the first 2 months of pandemic","title-short":"COVID-19 distribution in Bogotá, Colombia","URL":"https://jech.bmj.com/lookup/doi/10.1136/jech-2020-214579","volume":"76","author":[{"family":"Moreno-Montoya","given":"Jose"},{"family":"Ballesteros","given":"Silvia Marcela"},{"family":"Idrovo","given":"Alvaro Javier"}],"accessed":{"date-parts":[["2022",2,27]]},"issued":{"date-parts":[["2022",2]]}}}],"schema":"https://github.com/citation-style-language/schema/raw/master/csl-citation.json"}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(111)</w:t>
      </w:r>
      <w:r w:rsidRPr="00C316F8">
        <w:rPr>
          <w:rFonts w:cstheme="minorHAnsi"/>
          <w:sz w:val="24"/>
          <w:szCs w:val="24"/>
        </w:rPr>
        <w:fldChar w:fldCharType="end"/>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{"citationID":"qO113cYh","properties":{"formattedCitation":"(2)","plainCitation":"(2)","noteIndex":0},"citationItems":[{"id":1464,"uris":["http://zotero.org/users/5785509/items/3DGXYAHK"],"itemData":{"id":1464,"type":"article-journal","container-title":"Journal of public health","ISSN":"1741-3842","issue":"3","journalAbbreviation":"Journal of public health","page":"437-444","publisher":"Oxford University Press","title":"Poverty and survival from COVID-19 in Mexico","volume":"43","author":[{"family":"Millán-Guerrero","given":"Rebeca Olivia"},{"family":"Caballero-Hoyos","given":"Ramiro"},{"family":"Monárrez-Espino","given":"Joel"}],"issued":{"date-parts":[["2021"]]}}}],"schema":"https://github.com/citation-style-language/schema/raw/master/csl-citation.json"} </w:instrText>
      </w:r>
      <w:r w:rsidRPr="00C316F8">
        <w:rPr>
          <w:rFonts w:cstheme="minorHAnsi"/>
          <w:sz w:val="24"/>
          <w:szCs w:val="24"/>
        </w:rPr>
        <w:fldChar w:fldCharType="separate"/>
      </w:r>
      <w:r w:rsidR="00961D28" w:rsidRPr="00C316F8">
        <w:rPr>
          <w:rFonts w:ascii="Calibri" w:hAnsi="Calibri" w:cs="Calibri"/>
          <w:sz w:val="24"/>
          <w:lang w:val="es-CO"/>
        </w:rPr>
        <w:t>(2)</w:t>
      </w:r>
      <w:r w:rsidRPr="00C316F8">
        <w:rPr>
          <w:rFonts w:cstheme="minorHAnsi"/>
          <w:sz w:val="24"/>
          <w:szCs w:val="24"/>
        </w:rPr>
        <w:fldChar w:fldCharType="end"/>
      </w:r>
      <w:r w:rsidRPr="00C316F8">
        <w:rPr>
          <w:rFonts w:cstheme="minorHAnsi"/>
          <w:sz w:val="24"/>
          <w:szCs w:val="24"/>
          <w:lang w:val="es-CO"/>
        </w:rPr>
        <w:t>.</w:t>
      </w:r>
    </w:p>
    <w:p w14:paraId="6CB6C98E" w14:textId="2B561660"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Según la literatura, estudios realizados en Bogotá han vinculado la pobreza multidimensional con mayores tasas de mortalidad, revelando inequidades socioeconómicas, demográficas y étnicas.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{"citationID":"0uRGToHF","properties":{"formattedCitation":"(3,111)","plainCitation":"(3,111)","noteIndex":0},"citationItems":[{"id":94,"uris":["http://zotero.org/users/5785509/items/RGC7RPXF"],"itemData":{"id":94,"type":"article-journal","abstract":"Background\n              After 8 months of the COVID-19 pandemic, Latin American countries have some of the highest rates in COVID-19 mortality. Despite being one of the most unequal regions of the world, there is a scarce report of the effect of socioeconomic conditions on COVID-19 mortality in their countries. We aimed to identify the effect of some socioeconomic inequality-related factors on COVID-19 mortality in Colombia.\n            \n            \n              Methods\n              We conducted a survival analysis in a nation-wide retrospective cohort study of confirmed cases of COVID-19 in Colombia from 2 March 2020 to 26 October 2020. We calculated the time to death or recovery for each confirmed case in the cohort. We used an extended multivariable time-dependent Cox regression model to estimate the HR by age groups, sex, ethnicity, type of health insurance, area of residence and socioeconomic strata.\n            \n            \n              Results\n              There were 1 033 218 confirmed cases and 30 565 deaths for COVID-19 in Colombia between 2 March and 26 October. The risk of dying for COVID-19 among confirmed cases was higher in males (HR 1.68 95% CI 1.64 to 1.72), in people older than 60 years (HR 296.58 95% CI 199.22 to 441.51), in indigenous people (HR 1.20 95% CI 1.08 to 1.33), in people with subsidised health insurance regime (HR 1.89 95% CI 1.83 to 1.96) and in people living in the very low socioeconomic strata (HR 1.44 95% CI 1.24 to 1.68).\n            \n            \n              Conclusion\n              Our study provides evidence of socioeconomic inequalities in COVID-19 mortality in terms of age groups, sex, ethnicity, type of health insurance regimen and socioeconomic status.","container-title":"Journal of Epidemiology and Community Health","DOI":"10.1136/jech-2020-216275","ISSN":"0143-005X, 1470-2738","issue":"7","journalAbbreviation":"J Epidemiol Community Health","language":"en","page":"610-615","source":"DOI.org (Crossref)","title":"Socioeconomic inequalities associated with mortality for COVID-19 in Colombia: a cohort nationwide study","title-short":"Socioeconomic inequalities associated with mortality for COVID-19 in Colombia","URL":"https://jech.bmj.com/lookup/doi/10.1136/jech-2020-216275","volume":"75","author":[{"family":"Cifuentes","given":"Myriam Patricia"},{"family":"Rodriguez-Villamizar","given":"Laura Andrea"},{"family":"Rojas-Botero","given":"Maylen Liseth"},{"family":"Alvarez-Moreno","given":"Carlos Arturo"},{"family":"Fernández-Niño","given":"Julián Alfredo"}],"accessed":{"date-parts":[["2022",2,7]]},"issued":{"date-parts":[["2021",7]]}}},{"id":30,"uris":["http://zotero.org/users/5785509/items/CRQ9WZCZ"],"itemData":{"id":30,"type":"article-journal","abstract":"Background  The current SARS-­CoV-­2 pandemic has especially affected individuals living in conglomerate settings having poverty as common characteristic. However, evidence of the association between COVID-­19 severity and social determinants is still scarce, particularly, for Latin American countries. The objective was to assess the effect of socioeconomic deprivation in the clinical severity of COVID-­19 infection among different localities of Bogotá, Colombia. Methods  Secondary analyses using data of SARS-­ CoV-­2 infected cases in Bogotá from 6 March 2020 to 19 April 2020 were carried out. Direct and indirect indicators of deprivation at area level and individual demographic characteristics (age, sex and type of case) were included in the analyses. Findings  1684 COVID-­19 cases were included in the study. There were 217 (12.9%; 95% CI 11.3 to 14.5) serious cases, of which 32.6% (95% CI 26.4 to 38.8) cases were deceased. In the multilevel logistic regression, age, sex (female), type of case (different of imported case), number of serious cases recorded the previous day and multidimensional poverty were associated with serious cases (median OR: 1.72, 95% CI 1.56 to 1.87). Interpretation  This paper explored the association between COVID-­19 severity and social determinants. Expressions of poverty were associated with more severe cases during first 2 months of pandemic. It is a clear syndemic for the joint presentation of COVID-­19 and other comorbidities among more serious cases.","container-title":"Journal of Epidemiology and Community Health","DOI":"10.1136/jech-2020-214579","ISSN":"0143-005X, 1470-2738","issue":"2","journalAbbreviation":"J Epidemiol Community Health","language":"en","page":"116-120","source":"DOI.org (Crossref)","title":"COVID-19 distribution in Bogotá, Colombia: effect of poverty during the first 2 months of pandemic","title-short":"COVID-19 distribution in Bogotá, Colombia","URL":"https://jech.bmj.com/lookup/doi/10.1136/jech-2020-214579","volume":"76","author":[{"family":"Moreno-Montoya","given":"Jose"},{"family":"Ballesteros","given":"Silvia Marcela"},{"family":"Idrovo","given":"Alvaro Javier"}],"accessed":{"date-parts":[["2022",2,27]]},"issued":{"date-parts":[["2022",2]]}}}],"schema":"https://github.com/citation-style-language/schema/raw/master/csl-citation.json"}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(3,111)</w:t>
      </w:r>
      <w:r w:rsidRPr="00C316F8">
        <w:rPr>
          <w:rFonts w:cstheme="minorHAnsi"/>
          <w:sz w:val="24"/>
          <w:szCs w:val="24"/>
        </w:rPr>
        <w:fldChar w:fldCharType="end"/>
      </w:r>
      <w:r w:rsidRPr="00C316F8">
        <w:rPr>
          <w:rFonts w:cstheme="minorHAnsi"/>
          <w:sz w:val="24"/>
          <w:szCs w:val="24"/>
          <w:lang w:val="es-CO"/>
        </w:rPr>
        <w:t xml:space="preserve">. Además, un análisis de microsimulación muestra que la pandemia incrementó significativamente los niveles de pobreza, afectando de manera similar a hombres y mujeres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{"citationID":"Yn3T9vP6","properties":{"formattedCitation":"(112)","plainCitation":"(112)","noteIndex":0},"citationItems":[{"id":491,"uris":["http://zotero.org/users/5785509/items/UFXFACUM"],"itemData":{"id":491,"type":"article-journal","container-title":"The European Journal of Development Research","DOI":"10.1057/s41287-020-00328-2","ISSN":"0957-8811, 1743-9728","issue":"5","journalAbbreviation":"Eur J Dev Res","language":"en","page":"1558-1591","source":"DOI.org (Crossref)","title":"The Gendered Poverty Effects of the COVID-19 Pandemic in Colombia","URL":"http://link.springer.com/10.1057/s41287-020-00328-2","volume":"32","author":[{"family":"Cuesta","given":"Jose"},{"family":"Pico","given":"Julieth"}],"accessed":{"date-parts":[["2022",4,3]]},"issued":{"date-parts":[["2020",12]]}}}],"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(112)</w:t>
      </w:r>
      <w:r w:rsidRPr="00C316F8">
        <w:rPr>
          <w:rFonts w:cstheme="minorHAnsi"/>
          <w:sz w:val="24"/>
          <w:szCs w:val="24"/>
        </w:rPr>
        <w:fldChar w:fldCharType="end"/>
      </w:r>
      <w:r w:rsidRPr="00C316F8">
        <w:rPr>
          <w:rFonts w:cstheme="minorHAnsi"/>
          <w:sz w:val="24"/>
          <w:szCs w:val="24"/>
          <w:lang w:val="es-CO"/>
        </w:rPr>
        <w:t xml:space="preserve">. Por otro lado, se han registrado reducciones significativas en el empleo y pérdidas económicas en los sectores de servicios y en las regiones vulnerables como resultado de las medidas de aislamiento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{"citationID":"3VyUra0h","properties":{"formattedCitation":"(60)","plainCitation":"(60)","noteIndex":0},"citationItems":[{"id":22,"uris":["http://zotero.org/users/5785509/items/62DA99ME"],"itemData":{"id":22,"type":"article-journal","container-title":"Regional Science Policy &amp; Practice","DOI":"10.1111/rsp3.12320","ISSN":"1757-7802, 1757-7802","issue":"6","journalAbbreviation":"Reg Sci Policy Pract","language":"en","page":"1123-1150","source":"DOI.org (Crossref)","title":"Regional economic impact of COVID‐19 in Colombia: An input–output approach","title-short":"Regional economic impact of COVID‐19 in Colombia","URL":"https://onlinelibrary.wiley.com/doi/10.1111/rsp3.12320","volume":"12","author":[{"family":"Bonet‐Morón","given":"Jaime"},{"family":"Ricciulli‐Marín","given":"Diana"},{"family":"Pérez‐Valbuena","given":"Gerson Javier"},{"family":"Galvis‐Aponte","given":"Luis Armando"},{"family":"Haddad","given":"Eduardo A."},{"family":"Araújo","given":"Inácio F."},{"family":"Perobelli","given":"Fernando S."}],"accessed":{"date-parts":[["2022",3,12]]},"issued":{"date-parts":[["2020",12]]}}}],"schema":"https://github.com/citation-style-language/schema/raw/master/csl-citation.json"}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(60)</w:t>
      </w:r>
      <w:r w:rsidRPr="00C316F8">
        <w:rPr>
          <w:rFonts w:cstheme="minorHAnsi"/>
          <w:sz w:val="24"/>
          <w:szCs w:val="24"/>
        </w:rPr>
        <w:fldChar w:fldCharType="end"/>
      </w:r>
      <w:r w:rsidRPr="00C316F8">
        <w:rPr>
          <w:rFonts w:cstheme="minorHAnsi"/>
          <w:sz w:val="24"/>
          <w:szCs w:val="24"/>
          <w:lang w:val="es-CO"/>
        </w:rPr>
        <w:t>, mientras que otros estudios indican que los estratos socioeconómicos más bajos presentan mayores tasas de contagio y disparidades en la detección de casos</w:t>
      </w:r>
      <w:r w:rsidR="001600C1"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{"citationID":"MsU3l7El","properties":{"formattedCitation":"(63)","plainCitation":"(63)","noteIndex":0},"citationItems":[{"id":492,"uris":["http://zotero.org/users/5785509/items/NWYP873M"],"itemData":{"id":492,"type":"article-journal","abstract":"Abstract\n            Latin America has been severely affected by the COVID-19 pandemic but estimations of rates of infections are very limited and lack the level of detail required to guide policy decisions. We implemented a COVID-19 sentinel surveillance study with 59,770 RT-PCR tests on mostly asymptomatic individuals and combine this data with administrative records on all detected cases to capture the spread and dynamics of the COVID-19 pandemic in Bogota from June 2020 to early March 2021. We describe various features of the pandemic that appear to be specific to a middle income countries. We find that, by March 2021, slightly more than half of the population in Bogota has been infected, despite only a small fraction of this population being detected. The initial buildup of immunity contributed to the containment of the pandemic in the first and second waves. We also show that the share of the population infected by March 2021 varies widely by occupation, socio-economic stratum, and location. This, in turn, has affected the dynamics of the spread with different groups being infected in the two waves.","container-title":"Nature Communications","DOI":"10.1038/s41467-021-25038-z","ISSN":"2041-1723","issue":"1","journalAbbreviation":"Nat Commun","language":"en","page":"4726","source":"DOI.org (Crossref)","title":"COVID-19 spread, detection, and dynamics in Bogota, Colombia","URL":"https://www.nature.com/articles/s41467-021-25038-z","volume":"12","author":[{"family":"Laajaj","given":"Rachid"},{"family":"De Los Rios","given":"Camilo"},{"family":"Sarmiento-Barbieri","given":"Ignacio"},{"family":"Aristizabal","given":"Danilo"},{"family":"Behrentz","given":"Eduardo"},{"family":"Bernal","given":"Raquel"},{"family":"Buitrago","given":"Giancarlo"},{"family":"Cucunubá","given":"Zulma"},{"family":"Hoz","given":"Fernando","non-dropping-particle":"de la"},{"family":"Gaviria","given":"Alejandro"},{"family":"Hernández","given":"Luis Jorge"},{"family":"León","given":"Leonardo"},{"family":"Moyano","given":"Diane"},{"family":"Osorio","given":"Elkin"},{"family":"Varela","given":"Andrea Ramírez"},{"family":"Restrepo","given":"Silvia"},{"family":"Rodriguez","given":"Rodrigo"},{"family":"Schady","given":"Norbert"},{"family":"Vives","given":"Martha"},{"family":"Webb","given":"Duncan"}],"accessed":{"date-parts":[["2022",4,2]]},"issued":{"date-parts":[["2021",12]]}}}],"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(63)</w:t>
      </w:r>
      <w:r w:rsidRPr="00C316F8">
        <w:rPr>
          <w:rFonts w:cstheme="minorHAnsi"/>
          <w:sz w:val="24"/>
          <w:szCs w:val="24"/>
        </w:rPr>
        <w:fldChar w:fldCharType="end"/>
      </w:r>
    </w:p>
    <w:p w14:paraId="50C721ED" w14:textId="5B9C433B" w:rsidR="00D961A3" w:rsidRPr="00C316F8" w:rsidRDefault="00D961A3" w:rsidP="00D961A3">
      <w:pPr>
        <w:jc w:val="both"/>
        <w:rPr>
          <w:rFonts w:cstheme="minorHAnsi"/>
          <w:sz w:val="24"/>
          <w:szCs w:val="24"/>
          <w:lang w:val="es-CO"/>
        </w:rPr>
      </w:pPr>
      <w:r w:rsidRPr="00C316F8">
        <w:rPr>
          <w:rFonts w:cstheme="minorHAnsi"/>
          <w:sz w:val="24"/>
          <w:szCs w:val="24"/>
          <w:lang w:val="es-CO"/>
        </w:rPr>
        <w:t>Colombia es reconocida como un país multicultural con una significativa diversidad étnica. La pobreza multidimensional y la exclusión social están estrechamente vinculadas con la identidad étnica. Las comunidades afrocolombianas e indígenas se ven desproporcionadamente afectadas por condiciones socioeconómicas adversas, que incluyen bajos niveles educativos, deficiencias en salud y nutrición, y un acceso limitado a servicios básicos. Esta realidad pone de manifiesto que la pobreza en estas comunidades no es únicamente una cuestión de ingresos, sino también una carencia estructural de oportunidades</w:t>
      </w:r>
      <w:r w:rsidR="001600C1"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{"citationID":"DvMSKHBm","properties":{"formattedCitation":"(11,113)","plainCitation":"(11,113)","noteIndex":0},"citationItems":[{"id":1636,"uris":["http://zotero.org/users/5785509/items/GI7R4UIW"],"itemData":{"id":1636,"type":"article-journal","note":"publisher: Buenos Aires: FLACSO. Sede Académica Argentina","title":"Superación de la pobreza extrema en Colombia: una mirada desde el enfoque diferencial para los pueblos indígenas","author":[{"family":"Torres Torres","given":"María Fernanda"}],"issued":{"date-parts":[["2017"]]}}},{"id":1468,"uris":["http://zotero.org/users/5785509/items/NL6PRS98"],"itemData":{"id":1468,"type":"article-journal","container-title":"CEPAL Review","ISSN":"1684-0348","issue":"134","journalAbbreviation":"CEPAL Review","page":"33-54","publisher":"United Nations","title":"Ethnicity and social exclusion in Colombia in 2012–2017","volume":"2021","author":[{"family":"Benavides","given":"Edinson Ortiz"},{"family":"Velásquez","given":"José Javier Núñez"}],"issued":{"date-parts":[["2022"]]}}}],"schema":"https://github.com/citation-style-language/schema/raw/master/csl-citation.json"}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(11,113)</w:t>
      </w:r>
      <w:r w:rsidRPr="00C316F8">
        <w:rPr>
          <w:rFonts w:cstheme="minorHAnsi"/>
          <w:sz w:val="24"/>
          <w:szCs w:val="24"/>
        </w:rPr>
        <w:fldChar w:fldCharType="end"/>
      </w:r>
    </w:p>
    <w:p w14:paraId="026D680E" w14:textId="16D045FB"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La dinámica del conflicto armado tiene el potencial de erosionar el capital social, limitando la capacidad de una sociedad para transformar los recursos disponibles en bienestar y desarrollo funcional. Este fenómeno es evidente en Colombia, donde un análisis realizado en el departamento de Antioquia reveló una correlación significativa entre pobreza y violencia armada. Las regiones con altos niveles de pobreza multidimensional coinciden con las zonas más severamente afectadas por el conflicto, lo que pone de manifiesto la interdependencia entre la exclusión socioeconómica y la vulnerabilidad frente a la violencia armada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{"citationID":"u4UCipHj","properties":{"formattedCitation":"(68)","plainCitation":"(68)","noteIndex":0},"citationItems":[{"id":1467,"uris":["http://zotero.org/users/5785509/items/DFKAEEW7"],"itemData":{"id":1467,"type":"article-journal","title":"The relationship between multidimensional poverty and armed conflict: the case of Antioquia, Colombia","author":[{"family":"Loaiza","given":"Osmar"},{"family":"Munetón","given":"Guberney"},{"family":"Vanegas","given":"Gabriel"}],"issued":{"date-parts":[["2014"]]}}}],"schema":"https://github.com/citation-style-language/schema/raw/master/csl-citation.json"}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(68)</w:t>
      </w:r>
      <w:r w:rsidRPr="00C316F8">
        <w:rPr>
          <w:rFonts w:cstheme="minorHAnsi"/>
          <w:sz w:val="24"/>
          <w:szCs w:val="24"/>
        </w:rPr>
        <w:fldChar w:fldCharType="end"/>
      </w:r>
      <w:r w:rsidRPr="00C316F8">
        <w:rPr>
          <w:rFonts w:cstheme="minorHAnsi"/>
          <w:sz w:val="24"/>
          <w:szCs w:val="24"/>
          <w:lang w:val="es-CO"/>
        </w:rPr>
        <w:t>. Desde 2016, el acuerdo de paz con las Fuerzas Armadas Revolucionarias de Colombia (FARC), uno de los principales grupos guerrilleros, ha centrado la atención social en las Zonas Más Afectadas por el Conflicto Armado (ZOMAC) mediante la creación de áreas especiales para la implementación de los Programas de Desarrollo con Enfoque Territorial (PDET)</w:t>
      </w:r>
      <w:r w:rsidR="003B4F37"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{"citationID":"xpZQMAEA","properties":{"formattedCitation":"(67,114,115)","plainCitation":"(67,114,115)","noteIndex":0},"citationItems":[{"id":883,"uris":["http://zotero.org/users/5785509/items/Q2XMWFVU"],"itemData":{"id":883,"type":"webpage","title":"Decreto Ley 893 de 2017 - Gestor Normativo - Función Pública","URL":"https://www.funcionpublica.gov.co/eva/gestornormativo/norma.php?i=81856","accessed":{"date-parts":[["2023",10,22]]}}},{"id":1466,"uris":["http://zotero.org/users/5785509/items/NKR4Q4KT"],"itemData":{"id":1466,"type":"article-journal","container-title":"Ciência &amp; Saúde Coletiva","ISSN":"1413-8123","journalAbbreviation":"Ciência &amp; Saúde Coletiva","page":"349-361","publisher":"SciELO Public Health","title":"The effects of the armed conflict on the life and health in Colombia","volume":"11","author":[{"family":"Franco","given":"Saúl"},{"family":"Suarez","given":"Clara Mercedes"},{"family":"Naranjo","given":"Claudia Beatriz"},{"family":"Báez","given":"Liliana Carolina"},{"family":"Rozo","given":"Patricia"}],"issued":{"date-parts":[["2006"]]}}},{"id":882,"uris":["http://zotero.org/users/5785509/items/YP27YKGR"],"itemData":{"id":882,"type":"webpage","title":"Ley 1819 de 2016 - Gestor Normativo - Función Pública","URL":"https://www.funcionpublica.gov.co/eva/gestornormativo/norma.php?i=79140","accessed":{"date-parts":[["2023",10,22]]}}}],"schema":"https://github.com/citation-style-language/schema/raw/master/csl-citation.json"}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(67,114,115)</w:t>
      </w:r>
      <w:r w:rsidRPr="00C316F8">
        <w:rPr>
          <w:rFonts w:cstheme="minorHAnsi"/>
          <w:sz w:val="24"/>
          <w:szCs w:val="24"/>
        </w:rPr>
        <w:fldChar w:fldCharType="end"/>
      </w:r>
    </w:p>
    <w:p w14:paraId="3A3D843A"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lastRenderedPageBreak/>
        <w:t>En Colombia, la mortalidad por COVID-19 ha afectado de manera desproporcionada a ciertos grupos poblacionales, lo que resalta la necesidad de comprender los factores sociales subyacentes. Este estudio observacional retrospectivo, basado en registros nacionales, tiene como objetivo identificar las asociaciones entre el CMPI, la etnicidad, las ZOMAC y la mortalidad por COVID-19. Se plantea la hipótesis de que niveles más altos de pobreza multidimensional, pertenencia a minorías étnicas (afrocolombianos e indígenas) y la residencia en ZOMAC se asocian con una mayor mortalidad por COVID-19. Al identificar los grupos poblacionales de mayor riesgo, este estudio busca proporcionar una comprensión más integral de los factores que contribuyen a la desigualdad en el país, lo cual es fundamental para desarrollar estrategias de salud pública focalizadas y medidas preventivas más precisas, adaptadas a las necesidades específicas de cada comunidad.</w:t>
      </w:r>
    </w:p>
    <w:p w14:paraId="6506862E" w14:textId="77777777" w:rsidR="00D961A3" w:rsidRPr="00C316F8" w:rsidRDefault="00D961A3" w:rsidP="00D961A3">
      <w:pPr>
        <w:jc w:val="both"/>
        <w:rPr>
          <w:rFonts w:cstheme="minorHAnsi"/>
          <w:bCs/>
          <w:sz w:val="24"/>
          <w:szCs w:val="24"/>
          <w:lang w:val="es-CO"/>
        </w:rPr>
      </w:pPr>
    </w:p>
    <w:p w14:paraId="46566CC6" w14:textId="4081BBA7" w:rsidR="00D961A3" w:rsidRPr="00C316F8" w:rsidRDefault="003D695D" w:rsidP="00D961A3">
      <w:pPr>
        <w:pStyle w:val="Ttulo1"/>
        <w:rPr>
          <w:lang w:val="es-CO"/>
        </w:rPr>
      </w:pPr>
      <w:bookmarkStart w:id="63" w:name="_Toc229834667"/>
      <w:r w:rsidRPr="00C316F8">
        <w:rPr>
          <w:lang w:val="es-CO"/>
        </w:rPr>
        <w:t>7</w:t>
      </w:r>
      <w:r w:rsidR="00D961A3" w:rsidRPr="00C316F8">
        <w:rPr>
          <w:lang w:val="es-CO"/>
        </w:rPr>
        <w:t>.3</w:t>
      </w:r>
      <w:r w:rsidR="00D961A3" w:rsidRPr="00C316F8">
        <w:rPr>
          <w:lang w:val="es-CO"/>
        </w:rPr>
        <w:tab/>
        <w:t>METODOLOGIA</w:t>
      </w:r>
      <w:bookmarkEnd w:id="63"/>
    </w:p>
    <w:p w14:paraId="7C97CE81" w14:textId="77777777" w:rsidR="00D961A3" w:rsidRPr="00C316F8" w:rsidRDefault="00D961A3" w:rsidP="00D961A3">
      <w:pPr>
        <w:rPr>
          <w:lang w:val="es-CO"/>
        </w:rPr>
      </w:pPr>
    </w:p>
    <w:p w14:paraId="66DA1E40" w14:textId="1EB45813"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La organización territorial de Colombia está estructurada en tres niveles: 32 departamentos, 1.122 municipios y territorios con regímenes especiales. Los departamentos actúan como principales unidades regionales con autonomía y autoridades elegidas; los municipios, como unidades básicas del gobierno local, son responsables de la gestión de los servicios públicos y las políticas comunitarias; y algunos municipios, como el Distrito Capital de Bogotá, se clasifican como distritos especiales para enfrentar desafíos urbanos particulares, mientras que los territorios indígenas disponen de regímenes propios de autogobierno. Este modelo descentralizado promueve la autonomía regional y la participación ciudadana. Según las proyecciones más recientes del DANE, la población total estimada para el año 2022 es de aproximadamente 51,5 millones de habitantes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{"citationID":"plelhDaH","properties":{"formattedCitation":"(88,116)","plainCitation":"(88,116)","noteIndex":0},"citationItems":[{"id":1715,"uris":["http://zotero.org/users/5785509/items/UWTSDZUR"],"itemData":{"id":1715,"type":"webpage","title":"DANE - Proyecciones de población","URL":"https://www.dane.gov.co/index.php/estadisticas-por-tema/demografia-y-poblacion/proyecciones-de-poblacion","accessed":{"date-parts":[["2025",2,22]]}}},{"id":939,"uris":["http://zotero.org/users/5785509/items/AD3Z6DZ3"],"itemData":{"id":939,"type":"webpage","title":"CONSTITUCIÓN POLÍTICA","URL":"http://www.secretariasenado.gov.co/constitucion-politica","accessed":{"date-parts":[["2023",12,13]]}}}],"schema":"https://github.com/citation-style-language/schema/raw/master/csl-citation.json"}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(88,116)</w:t>
      </w:r>
      <w:r w:rsidRPr="00C316F8">
        <w:rPr>
          <w:rFonts w:cstheme="minorHAnsi"/>
          <w:sz w:val="24"/>
          <w:szCs w:val="24"/>
        </w:rPr>
        <w:fldChar w:fldCharType="end"/>
      </w:r>
      <w:r w:rsidRPr="00C316F8">
        <w:rPr>
          <w:rFonts w:cstheme="minorHAnsi"/>
          <w:sz w:val="24"/>
          <w:szCs w:val="24"/>
          <w:lang w:val="es-CO"/>
        </w:rPr>
        <w:t>.</w:t>
      </w:r>
    </w:p>
    <w:p w14:paraId="0D80C796" w14:textId="77777777" w:rsidR="003B4F37" w:rsidRPr="00C316F8" w:rsidRDefault="003B4F37" w:rsidP="00D961A3">
      <w:pPr>
        <w:jc w:val="both"/>
        <w:rPr>
          <w:rFonts w:cstheme="minorHAnsi"/>
          <w:sz w:val="24"/>
          <w:szCs w:val="24"/>
          <w:lang w:val="es-CO"/>
        </w:rPr>
      </w:pPr>
    </w:p>
    <w:p w14:paraId="58C772F6" w14:textId="0724D5E3" w:rsidR="00D961A3" w:rsidRPr="00C316F8" w:rsidRDefault="003D695D" w:rsidP="00D961A3">
      <w:pPr>
        <w:pStyle w:val="Ttulo2"/>
      </w:pPr>
      <w:bookmarkStart w:id="64" w:name="_Toc229834668"/>
      <w:r w:rsidRPr="00C316F8">
        <w:t>7</w:t>
      </w:r>
      <w:r w:rsidR="00D961A3" w:rsidRPr="00C316F8">
        <w:t>.3.1</w:t>
      </w:r>
      <w:r w:rsidR="00D961A3" w:rsidRPr="00C316F8">
        <w:tab/>
        <w:t>Diseño del estudio</w:t>
      </w:r>
      <w:bookmarkEnd w:id="64"/>
    </w:p>
    <w:p w14:paraId="76922EEA" w14:textId="77777777" w:rsidR="00D961A3" w:rsidRPr="00C316F8" w:rsidRDefault="00D961A3" w:rsidP="00D961A3">
      <w:pPr>
        <w:rPr>
          <w:lang w:val="es-CO"/>
        </w:rPr>
      </w:pPr>
    </w:p>
    <w:p w14:paraId="611EC842" w14:textId="0259B17C"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Se realizó un estudio observacional retrospectivo basado en registros nacionales desde el 6 de marzo de 2020 hasta el 31 de diciembre de 2022, centrado en la población colombiana. Los criterios de inclusión abarcaron a todos los individuos con diagnóstico confirmado de COVID-19 durante el período de estudio. Se utilizó la base de datos del Instituto Nacional de Salud (INS) de Colombia, la cual integra los reportes del Sistema de Vigilancia en Salud Pública (SIVIGILA) y se actualiza con correcciones del Registro Único de Afiliados y Fallecidos (RUAFND), administrado por el Ministerio de Salud y el DANE. Este proceso garantiza una clasificación precisa de las muertes relacionadas con COVID-19 mediante recodificación automatizada (IRIS), revisión manual por expertos, autopsias verbales y análisis de historias clínicas. La integración de SIVIGILA con el RUAFND permitió la reclasificación de casos con </w:t>
      </w:r>
      <w:r w:rsidRPr="00C316F8">
        <w:rPr>
          <w:rFonts w:cstheme="minorHAnsi"/>
          <w:sz w:val="24"/>
          <w:szCs w:val="24"/>
          <w:lang w:val="es-CO"/>
        </w:rPr>
        <w:lastRenderedPageBreak/>
        <w:t xml:space="preserve">base en información diagnóstica y epidemiológica actualizada, lo cual asegura que las cifras finales de mortalidad reflejen con mayor precisión la verdadera carga de la enfermedad en Colombia. El diagnóstico de COVID-19 fue confirmado mediante pruebas de reacción en cadena de la polimerasa (PCR) o pruebas de antígeno. Sin embargo, las pruebas de antígeno son menos confiables en comparación con las PCR. La información sobre el número de pacientes que se sometieron a cada tipo de prueba se encuentra almacenada en bases de datos separadas, lo que imposibilita determinar el método diagnóstico utilizado para cada individuo dentro del conjunto de datos analizado en este estudio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{"citationID":"iu0EWV1Z","properties":{"formattedCitation":"(82)","plainCitation":"(82)","noteIndex":0},"citationItems":[{"id":406,"uris":["http://zotero.org/users/5785509/items/AIV78BQF"],"itemData":{"id":406,"type":"webpage","title":"Coronavirus Colombia","URL":"https://www.ins.gov.co/Noticias/Paginas/Coronavirus.aspx","accessed":{"date-parts":[["2023",6,12]]}}}],"schema":"https://github.com/citation-style-language/schema/raw/master/csl-citation.json"}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(82)</w:t>
      </w:r>
      <w:r w:rsidRPr="00C316F8">
        <w:rPr>
          <w:rFonts w:cstheme="minorHAnsi"/>
          <w:sz w:val="24"/>
          <w:szCs w:val="24"/>
        </w:rPr>
        <w:fldChar w:fldCharType="end"/>
      </w:r>
      <w:r w:rsidRPr="00C316F8">
        <w:rPr>
          <w:rFonts w:cstheme="minorHAnsi"/>
          <w:sz w:val="24"/>
          <w:szCs w:val="24"/>
          <w:lang w:val="es-CO"/>
        </w:rPr>
        <w:t xml:space="preserve">. Los datos demográficos, étnicos y de mortalidad fueron extraídos de la base de datos nacional de COVID-19 del Instituto Nacional de Salud de Colombia (INS) entre los años 2020 y 2022. No se realizó un seguimiento activo; la recolección de datos se basó en los registros disponibles en la base de datos nacional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{"citationID":"4HPOt23j","properties":{"formattedCitation":"(82)","plainCitation":"(82)","noteIndex":0},"citationItems":[{"id":406,"uris":["http://zotero.org/users/5785509/items/AIV78BQF"],"itemData":{"id":406,"type":"webpage","title":"Coronavirus Colombia","URL":"https://www.ins.gov.co/Noticias/Paginas/Coronavirus.aspx","accessed":{"date-parts":[["2023",6,12]]}}}],"schema":"https://github.com/citation-style-language/schema/raw/master/csl-citation.json"}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(82)</w:t>
      </w:r>
      <w:r w:rsidRPr="00C316F8">
        <w:rPr>
          <w:rFonts w:cstheme="minorHAnsi"/>
          <w:sz w:val="24"/>
          <w:szCs w:val="24"/>
        </w:rPr>
        <w:fldChar w:fldCharType="end"/>
      </w:r>
      <w:r w:rsidRPr="00C316F8">
        <w:rPr>
          <w:rFonts w:cstheme="minorHAnsi"/>
          <w:sz w:val="24"/>
          <w:szCs w:val="24"/>
          <w:lang w:val="es-CO"/>
        </w:rPr>
        <w:t xml:space="preserve">. La información sobre pobreza multidimensional se obtuvo del censo de población de 2018 realizado por el Departamento Administrativo Nacional de Estadística (DANE) </w:t>
      </w:r>
      <w:r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{"citationID":"dOJw4RDn","properties":{"formattedCitation":"(117)","plainCitation":"(117)","noteIndex":0},"citationItems":[{"id":471,"uris":["http://zotero.org/users/5785509/items/9KLS6LQX"],"itemData":{"id":471,"type":"webpage","title":"Medida de pobreza multidimensional de fuente censal","URL":"https://www.dane.gov.co/index.php/estadisticas-por-tema/pobreza-y-condiciones-de-vida/pobreza-y-desigualdad/medida-de-pobreza-multidimensional-de-fuente-censal","accessed":{"date-parts":[["2022",4,23]]}}}],"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(117)</w:t>
      </w:r>
      <w:r w:rsidRPr="00C316F8">
        <w:rPr>
          <w:rFonts w:cstheme="minorHAnsi"/>
          <w:sz w:val="24"/>
          <w:szCs w:val="24"/>
        </w:rPr>
        <w:fldChar w:fldCharType="end"/>
      </w:r>
      <w:r w:rsidRPr="00C316F8">
        <w:rPr>
          <w:rFonts w:cstheme="minorHAnsi"/>
          <w:sz w:val="24"/>
          <w:szCs w:val="24"/>
          <w:lang w:val="es-CO"/>
        </w:rPr>
        <w:t xml:space="preserve">. Las ZOMAC fueron definidas conforme al Artículo 236, Sección 6 de la Ley 1819 del 29 de diciembre de 2016, como “las zonas más afectadas por el conflicto armado. Las ZOMAC constituyen el conjunto de municipios considerados como los más afectados por el conflicto, según la definición del Ministerio de Hacienda, el Departamento Nacional de Planeación y la Agencia de Renovación del Territorio (ART)” </w:t>
      </w:r>
      <w:r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{"citationID":"Z16YnZCS","properties":{"formattedCitation":"(114,115)","plainCitation":"(114,115)","noteIndex":0},"citationItems":[{"id":883,"uris":["http://zotero.org/users/5785509/items/Q2XMWFVU"],"itemData":{"id":883,"type":"webpage","title":"Decreto Ley 893 de 2017 - Gestor Normativo - Función Pública","URL":"https://www.funcionpublica.gov.co/eva/gestornormativo/norma.php?i=81856","accessed":{"date-parts":[["2023",10,22]]}}},{"id":882,"uris":["http://zotero.org/users/5785509/items/YP27YKGR"],"itemData":{"id":882,"type":"webpage","title":"Ley 1819 de 2016 - Gestor Normativo - Función Pública","URL":"https://www.funcionpublica.gov.co/eva/gestornormativo/norma.php?i=79140","accessed":{"date-parts":[["2023",10,22]]}}}],"schema":"https://github.com/citation-style-language/schema/raw/master/csl-citation.json"}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(114,115)</w:t>
      </w:r>
      <w:r w:rsidRPr="00C316F8">
        <w:rPr>
          <w:rFonts w:cstheme="minorHAnsi"/>
          <w:sz w:val="24"/>
          <w:szCs w:val="24"/>
        </w:rPr>
        <w:fldChar w:fldCharType="end"/>
      </w:r>
      <w:r w:rsidRPr="00C316F8">
        <w:rPr>
          <w:rFonts w:cstheme="minorHAnsi"/>
          <w:sz w:val="24"/>
          <w:szCs w:val="24"/>
          <w:lang w:val="es-CO"/>
        </w:rPr>
        <w:t>.</w:t>
      </w:r>
    </w:p>
    <w:p w14:paraId="74F5728D" w14:textId="77777777" w:rsidR="00D961A3" w:rsidRPr="00C316F8" w:rsidRDefault="00D961A3" w:rsidP="00D961A3">
      <w:pPr>
        <w:jc w:val="both"/>
        <w:rPr>
          <w:rFonts w:cstheme="minorHAnsi"/>
          <w:bCs/>
          <w:sz w:val="24"/>
          <w:szCs w:val="24"/>
          <w:lang w:val="es-CO"/>
        </w:rPr>
      </w:pPr>
    </w:p>
    <w:p w14:paraId="07387E9E" w14:textId="23EF96AC" w:rsidR="00D961A3" w:rsidRPr="00C316F8" w:rsidRDefault="003D695D" w:rsidP="00D961A3">
      <w:pPr>
        <w:pStyle w:val="Ttulo2"/>
      </w:pPr>
      <w:bookmarkStart w:id="65" w:name="_Toc229834669"/>
      <w:r w:rsidRPr="00C316F8">
        <w:t>7</w:t>
      </w:r>
      <w:r w:rsidR="00D961A3" w:rsidRPr="00C316F8">
        <w:t>.3.2</w:t>
      </w:r>
      <w:r w:rsidR="00D961A3" w:rsidRPr="00C316F8">
        <w:tab/>
        <w:t>Medición de la pobreza multidimensional</w:t>
      </w:r>
      <w:bookmarkEnd w:id="65"/>
    </w:p>
    <w:p w14:paraId="1D5E1C63" w14:textId="77777777" w:rsidR="00D961A3" w:rsidRPr="00C316F8" w:rsidRDefault="00D961A3" w:rsidP="00D961A3">
      <w:pPr>
        <w:rPr>
          <w:lang w:val="es-CO"/>
        </w:rPr>
      </w:pPr>
    </w:p>
    <w:p w14:paraId="3E73C327" w14:textId="5AFF5EF2"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El índice CMPI fue adaptado por Angulo et al. con base en el método de </w:t>
      </w:r>
      <w:r w:rsidR="00363B80" w:rsidRPr="00C316F8">
        <w:rPr>
          <w:rFonts w:cstheme="minorHAnsi"/>
          <w:sz w:val="24"/>
          <w:szCs w:val="24"/>
          <w:lang w:val="es-CO"/>
        </w:rPr>
        <w:t>Alkire-Foster</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{"citationID":"gD4ybIKh","properties":{"formattedCitation":"(8)","plainCitation":"(8)","noteIndex":0},"citationItems":[{"id":1469,"uris":["http://zotero.org/users/5785509/items/5HJ8WB8B"],"itemData":{"id":1469,"type":"article-journal","container-title":"Journal of Public Economics","DOI":"10.1016/j.jpubeco.2010.11.006","ISSN":"00472727","issue":"7-8","journalAbbreviation":"Journal of Public Economics","language":"en","page":"476-487","source":"DOI.org (Crossref)","title":"Counting and multidimensional poverty measurement","URL":"https://linkinghub.elsevier.com/retrieve/pii/S0047272710001660","volume":"95","author":[{"family":"Alkire","given":"Sabina"},{"family":"Foster","given":"James"}],"accessed":{"date-parts":[["2024",3,16]]},"issued":{"date-parts":[["2011",8]]}}}],"schema":"https://github.com/citation-style-language/schema/raw/master/csl-citation.json"} </w:instrText>
      </w:r>
      <w:r w:rsidRPr="00C316F8">
        <w:rPr>
          <w:rFonts w:cstheme="minorHAnsi"/>
          <w:sz w:val="24"/>
          <w:szCs w:val="24"/>
        </w:rPr>
        <w:fldChar w:fldCharType="separate"/>
      </w:r>
      <w:r w:rsidR="00961D28" w:rsidRPr="00C316F8">
        <w:rPr>
          <w:rFonts w:ascii="Calibri" w:hAnsi="Calibri" w:cs="Calibri"/>
          <w:sz w:val="24"/>
          <w:lang w:val="es-CO"/>
        </w:rPr>
        <w:t>(8)</w:t>
      </w:r>
      <w:r w:rsidRPr="00C316F8">
        <w:rPr>
          <w:rFonts w:cstheme="minorHAnsi"/>
          <w:sz w:val="24"/>
          <w:szCs w:val="24"/>
        </w:rPr>
        <w:fldChar w:fldCharType="end"/>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{"citationID":"0Z7etxF1","properties":{"formattedCitation":"(118)","plainCitation":"(118)","noteIndex":0},"citationItems":[{"id":881,"uris":["http://zotero.org/users/5785509/items/5FDAQE3S"],"itemData":{"id":881,"type":"article-journal","container-title":"Social Indicators Research","ISSN":"0303-8300","journalAbbreviation":"Social Indicators Research","page":"1-38","publisher":"Springer","title":"The Colombian multidimensional poverty index: Measuring poverty in a public policy context","volume":"127","author":[{"family":"Angulo","given":"Roberto"},{"family":"Díaz","given":"Yadira"},{"family":"Pardo","given":"Renata"}],"issued":{"date-parts":[["2016"]]}}}],"schema":"https://github.com/citation-style-language/schema/raw/master/csl-citation.json"}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(118)</w:t>
      </w:r>
      <w:r w:rsidRPr="00C316F8">
        <w:rPr>
          <w:rFonts w:cstheme="minorHAnsi"/>
          <w:sz w:val="24"/>
          <w:szCs w:val="24"/>
        </w:rPr>
        <w:fldChar w:fldCharType="end"/>
      </w:r>
      <w:r w:rsidRPr="00C316F8">
        <w:rPr>
          <w:rFonts w:cstheme="minorHAnsi"/>
          <w:sz w:val="24"/>
          <w:szCs w:val="24"/>
          <w:lang w:val="es-CO"/>
        </w:rPr>
        <w:t xml:space="preserve">. Esta adaptación amplía el índice a 5 dimensiones y 15 indicadores </w:t>
      </w:r>
      <w:r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{"citationID":"0V4q1nNI","properties":{"formattedCitation":"(117)","plainCitation":"(117)","noteIndex":0},"citationItems":[{"id":471,"uris":["http://zotero.org/users/5785509/items/9KLS6LQX"],"itemData":{"id":471,"type":"webpage","title":"Medida de pobreza multidimensional de fuente censal","URL":"https://www.dane.gov.co/index.php/estadisticas-por-tema/pobreza-y-condiciones-de-vida/pobreza-y-desigualdad/medida-de-pobreza-multidimensional-de-fuente-censal","accessed":{"date-parts":[["2022",4,23]]}}}],"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(117)</w:t>
      </w:r>
      <w:r w:rsidRPr="00C316F8">
        <w:rPr>
          <w:rFonts w:cstheme="minorHAnsi"/>
          <w:sz w:val="24"/>
          <w:szCs w:val="24"/>
        </w:rPr>
        <w:fldChar w:fldCharType="end"/>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{"citationID":"k02BGrxM","properties":{"formattedCitation":"(8)","plainCitation":"(8)","noteIndex":0},"citationItems":[{"id":1469,"uris":["http://zotero.org/users/5785509/items/5HJ8WB8B"],"itemData":{"id":1469,"type":"article-journal","container-title":"Journal of Public Economics","DOI":"10.1016/j.jpubeco.2010.11.006","ISSN":"00472727","issue":"7-8","journalAbbreviation":"Journal of Public Economics","language":"en","page":"476-487","source":"DOI.org (Crossref)","title":"Counting and multidimensional poverty measurement","URL":"https://linkinghub.elsevier.com/retrieve/pii/S0047272710001660","volume":"95","author":[{"family":"Alkire","given":"Sabina"},{"family":"Foster","given":"James"}],"accessed":{"date-parts":[["2024",3,16]]},"issued":{"date-parts":[["2011",8]]}}}],"schema":"https://github.com/citation-style-language/schema/raw/master/csl-citation.json"} </w:instrText>
      </w:r>
      <w:r w:rsidRPr="00C316F8">
        <w:rPr>
          <w:rFonts w:cstheme="minorHAnsi"/>
          <w:sz w:val="24"/>
          <w:szCs w:val="24"/>
        </w:rPr>
        <w:fldChar w:fldCharType="separate"/>
      </w:r>
      <w:r w:rsidR="00961D28" w:rsidRPr="00C316F8">
        <w:rPr>
          <w:rFonts w:ascii="Calibri" w:hAnsi="Calibri" w:cs="Calibri"/>
          <w:sz w:val="24"/>
          <w:lang w:val="es-CO"/>
        </w:rPr>
        <w:t>(8)</w:t>
      </w:r>
      <w:r w:rsidRPr="00C316F8">
        <w:rPr>
          <w:rFonts w:cstheme="minorHAnsi"/>
          <w:sz w:val="24"/>
          <w:szCs w:val="24"/>
        </w:rPr>
        <w:fldChar w:fldCharType="end"/>
      </w:r>
      <w:r w:rsidRPr="00C316F8">
        <w:rPr>
          <w:rFonts w:cstheme="minorHAnsi"/>
          <w:sz w:val="24"/>
          <w:szCs w:val="24"/>
          <w:lang w:val="es-CO"/>
        </w:rPr>
        <w:t xml:space="preserve">, como se muestra en la Figura </w:t>
      </w:r>
      <w:r w:rsidR="00363B80" w:rsidRPr="00C316F8">
        <w:rPr>
          <w:rFonts w:cstheme="minorHAnsi"/>
          <w:sz w:val="24"/>
          <w:szCs w:val="24"/>
          <w:lang w:val="es-CO"/>
        </w:rPr>
        <w:t>3 (86, 120)</w:t>
      </w:r>
      <w:r w:rsidRPr="00C316F8">
        <w:rPr>
          <w:rFonts w:cstheme="minorHAnsi"/>
          <w:sz w:val="24"/>
          <w:szCs w:val="24"/>
          <w:lang w:val="es-CO"/>
        </w:rPr>
        <w:t>. Este índice fue seleccionado porque permite medir múltiples privaciones que experimentan simultáneamente los individuos.</w:t>
      </w:r>
    </w:p>
    <w:p w14:paraId="7A128A0E" w14:textId="738CE388" w:rsidR="00D961A3" w:rsidRPr="00C316F8" w:rsidRDefault="00291619" w:rsidP="00291619">
      <w:pPr>
        <w:pStyle w:val="Descripcin"/>
        <w:rPr>
          <w:rFonts w:ascii="Calibri" w:hAnsi="Calibri" w:cs="Calibri"/>
          <w:b/>
          <w:bCs/>
          <w:i w:val="0"/>
          <w:iCs w:val="0"/>
          <w:color w:val="auto"/>
          <w:sz w:val="24"/>
          <w:szCs w:val="24"/>
        </w:rPr>
      </w:pPr>
      <w:bookmarkStart w:id="66" w:name="_Toc229834710"/>
      <w:r w:rsidRPr="00C316F8">
        <w:rPr>
          <w:rFonts w:ascii="Calibri" w:hAnsi="Calibri" w:cs="Calibri"/>
          <w:b/>
          <w:bCs/>
          <w:i w:val="0"/>
          <w:iCs w:val="0"/>
          <w:color w:val="auto"/>
          <w:sz w:val="24"/>
          <w:szCs w:val="24"/>
        </w:rPr>
        <w:t xml:space="preserve">Figura </w:t>
      </w:r>
      <w:r w:rsidRPr="00C316F8">
        <w:rPr>
          <w:rFonts w:ascii="Calibri" w:hAnsi="Calibri" w:cs="Calibri"/>
          <w:b/>
          <w:bCs/>
          <w:i w:val="0"/>
          <w:iCs w:val="0"/>
          <w:color w:val="auto"/>
          <w:sz w:val="24"/>
          <w:szCs w:val="24"/>
        </w:rPr>
        <w:fldChar w:fldCharType="begin"/>
      </w:r>
      <w:r w:rsidRPr="00C316F8">
        <w:rPr>
          <w:rFonts w:ascii="Calibri" w:hAnsi="Calibri" w:cs="Calibri"/>
          <w:b/>
          <w:bCs/>
          <w:i w:val="0"/>
          <w:iCs w:val="0"/>
          <w:color w:val="auto"/>
          <w:sz w:val="24"/>
          <w:szCs w:val="24"/>
        </w:rPr>
        <w:instrText xml:space="preserve"> SEQ Figura \* ARABIC </w:instrText>
      </w:r>
      <w:r w:rsidRPr="00C316F8">
        <w:rPr>
          <w:rFonts w:ascii="Calibri" w:hAnsi="Calibri" w:cs="Calibri"/>
          <w:b/>
          <w:bCs/>
          <w:i w:val="0"/>
          <w:iCs w:val="0"/>
          <w:color w:val="auto"/>
          <w:sz w:val="24"/>
          <w:szCs w:val="24"/>
        </w:rPr>
        <w:fldChar w:fldCharType="separate"/>
      </w:r>
      <w:r w:rsidR="00432859" w:rsidRPr="00C316F8">
        <w:rPr>
          <w:rFonts w:ascii="Calibri" w:hAnsi="Calibri" w:cs="Calibri"/>
          <w:b/>
          <w:bCs/>
          <w:i w:val="0"/>
          <w:iCs w:val="0"/>
          <w:noProof/>
          <w:color w:val="auto"/>
          <w:sz w:val="24"/>
          <w:szCs w:val="24"/>
        </w:rPr>
        <w:t>5</w:t>
      </w:r>
      <w:r w:rsidRPr="00C316F8">
        <w:rPr>
          <w:rFonts w:ascii="Calibri" w:hAnsi="Calibri" w:cs="Calibri"/>
          <w:b/>
          <w:bCs/>
          <w:i w:val="0"/>
          <w:iCs w:val="0"/>
          <w:color w:val="auto"/>
          <w:sz w:val="24"/>
          <w:szCs w:val="24"/>
        </w:rPr>
        <w:fldChar w:fldCharType="end"/>
      </w:r>
      <w:r w:rsidRPr="00C316F8">
        <w:rPr>
          <w:rFonts w:ascii="Calibri" w:hAnsi="Calibri" w:cs="Calibri"/>
          <w:b/>
          <w:bCs/>
          <w:i w:val="0"/>
          <w:iCs w:val="0"/>
          <w:color w:val="auto"/>
          <w:sz w:val="24"/>
          <w:szCs w:val="24"/>
        </w:rPr>
        <w:t>. Índice de pobreza multidimensional en Colombia, dimensiones y variables</w:t>
      </w:r>
      <w:bookmarkEnd w:id="66"/>
    </w:p>
    <w:p w14:paraId="27E063EA" w14:textId="77777777" w:rsidR="00D961A3" w:rsidRPr="00C316F8" w:rsidRDefault="00D961A3" w:rsidP="00D961A3">
      <w:pPr>
        <w:rPr>
          <w:lang w:val="es-CO"/>
        </w:rPr>
      </w:pPr>
    </w:p>
    <w:p w14:paraId="6665DB7A" w14:textId="77777777" w:rsidR="00D961A3" w:rsidRPr="00C316F8" w:rsidRDefault="00D961A3" w:rsidP="00D961A3">
      <w:pPr>
        <w:jc w:val="both"/>
        <w:rPr>
          <w:rFonts w:cstheme="minorHAnsi"/>
          <w:bCs/>
          <w:sz w:val="24"/>
          <w:szCs w:val="24"/>
          <w:lang w:val="es-CO"/>
        </w:rPr>
      </w:pPr>
      <w:r w:rsidRPr="00C316F8">
        <w:rPr>
          <w:rFonts w:cstheme="minorHAnsi"/>
          <w:noProof/>
          <w:sz w:val="24"/>
          <w:szCs w:val="24"/>
        </w:rPr>
        <w:lastRenderedPageBreak/>
        <w:drawing>
          <wp:inline distT="0" distB="0" distL="0" distR="0" wp14:anchorId="2B87E4C7" wp14:editId="176073B2">
            <wp:extent cx="4420926" cy="3779146"/>
            <wp:effectExtent l="0" t="0" r="0" b="0"/>
            <wp:docPr id="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123490" name="Imagen 1" descr="Diagrama&#10;&#10;Descripción generada automáticame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26113" cy="3783580"/>
                    </a:xfrm>
                    <a:prstGeom prst="rect">
                      <a:avLst/>
                    </a:prstGeom>
                    <a:noFill/>
                    <a:ln>
                      <a:noFill/>
                    </a:ln>
                  </pic:spPr>
                </pic:pic>
              </a:graphicData>
            </a:graphic>
          </wp:inline>
        </w:drawing>
      </w:r>
    </w:p>
    <w:p w14:paraId="6CA1BE7F" w14:textId="77777777" w:rsidR="00D961A3" w:rsidRPr="00C316F8" w:rsidRDefault="00D961A3" w:rsidP="00D961A3">
      <w:pPr>
        <w:jc w:val="both"/>
        <w:rPr>
          <w:rFonts w:cstheme="minorHAnsi"/>
          <w:bCs/>
          <w:sz w:val="24"/>
          <w:szCs w:val="24"/>
          <w:lang w:val="es-CO"/>
        </w:rPr>
      </w:pPr>
    </w:p>
    <w:p w14:paraId="1415EC8D" w14:textId="325B1A43" w:rsidR="00D961A3" w:rsidRPr="00C316F8" w:rsidRDefault="003D695D" w:rsidP="00D961A3">
      <w:pPr>
        <w:pStyle w:val="Ttulo2"/>
      </w:pPr>
      <w:bookmarkStart w:id="67" w:name="_Toc229834670"/>
      <w:r w:rsidRPr="00C316F8">
        <w:t>7</w:t>
      </w:r>
      <w:r w:rsidR="00D961A3" w:rsidRPr="00C316F8">
        <w:t>.3.3</w:t>
      </w:r>
      <w:r w:rsidR="00D961A3" w:rsidRPr="00C316F8">
        <w:tab/>
        <w:t>Etnias en Colombia</w:t>
      </w:r>
      <w:bookmarkEnd w:id="67"/>
    </w:p>
    <w:p w14:paraId="28208B9B" w14:textId="77777777" w:rsidR="00D961A3" w:rsidRPr="00C316F8" w:rsidRDefault="00D961A3" w:rsidP="00D961A3">
      <w:pPr>
        <w:rPr>
          <w:lang w:val="es-CO"/>
        </w:rPr>
      </w:pPr>
    </w:p>
    <w:p w14:paraId="03987D7F" w14:textId="72ED53DC" w:rsidR="00D961A3" w:rsidRPr="00C316F8" w:rsidRDefault="00D961A3" w:rsidP="00D961A3">
      <w:pPr>
        <w:jc w:val="both"/>
        <w:rPr>
          <w:rFonts w:cstheme="minorHAnsi"/>
          <w:sz w:val="24"/>
          <w:szCs w:val="24"/>
          <w:lang w:val="es-CO"/>
        </w:rPr>
      </w:pPr>
      <w:r w:rsidRPr="00C316F8">
        <w:rPr>
          <w:rFonts w:cstheme="minorHAnsi"/>
          <w:sz w:val="24"/>
          <w:szCs w:val="24"/>
          <w:lang w:val="es-CO"/>
        </w:rPr>
        <w:t>Según el Censo Nacional de Población y Vivienda de 2018 realizado por el DANE, la población blanca y mestiza representa el 88,83% del total de la población en Colombia, constituyendo el grupo demográfico más numeroso del país. La población afrocolombiana, que incluye a comunidades negras, raizales y palenqueras, corresponde al 6,76% (2.982.224 personas). Los raizales, ubicados en el Archipiélago de San Andrés, Providencia y Santa Catalina, tienen raíces culturales afro-anglo-antillanas y particularidades lingüísticas (0,05%, 25.515 personas), mientras que los palenqueros, residentes en San Basilio de Palenque (Bolívar), se distinguen por su lengua criolla y su legado histórico de resistencia (0,01%, 6.637 personas). Los pueblos indígenas constituyen el 4,40% (1.905.617 personas), conservando sus estructuras culturales y sociales ancestrales en diversos territorios del país. Finalmente, la comunidad Rom, caracterizada por sus tradiciones nómadas y el uso del idioma romaní, representa el 0,01% (2.649 personas)</w:t>
      </w:r>
      <w:r w:rsidR="003B4F37"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{"citationID":"N1mGVFIm","properties":{"formattedCitation":"(119)","plainCitation":"(119)","noteIndex":0},"citationItems":[{"id":1719,"uris":["http://zotero.org/users/5785509/items/AB2PLSBU"],"itemData":{"id":1719,"type":"webpage","title":"Grupos étnicos","URL":"https://www.minsalud.gov.co/proteccionsocial/promocion-social/paginas/grupos-etnicos.aspx","accessed":{"date-parts":[["2025",3,2]]}}}],"schema":"https://github.com/citation-style-language/schema/raw/master/csl-citation.json"}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(119)</w:t>
      </w:r>
      <w:r w:rsidRPr="00C316F8">
        <w:rPr>
          <w:rFonts w:cstheme="minorHAnsi"/>
          <w:sz w:val="24"/>
          <w:szCs w:val="24"/>
        </w:rPr>
        <w:fldChar w:fldCharType="end"/>
      </w:r>
    </w:p>
    <w:p w14:paraId="0C132FDB" w14:textId="77777777" w:rsidR="00D961A3" w:rsidRPr="00C316F8" w:rsidRDefault="00D961A3" w:rsidP="00D961A3">
      <w:pPr>
        <w:jc w:val="both"/>
        <w:rPr>
          <w:rFonts w:cstheme="minorHAnsi"/>
          <w:bCs/>
          <w:sz w:val="24"/>
          <w:szCs w:val="24"/>
          <w:lang w:val="es-CO"/>
        </w:rPr>
      </w:pPr>
    </w:p>
    <w:p w14:paraId="571F994F" w14:textId="09497C25" w:rsidR="00D961A3" w:rsidRPr="00C316F8" w:rsidRDefault="003D695D" w:rsidP="00D961A3">
      <w:pPr>
        <w:pStyle w:val="Ttulo2"/>
      </w:pPr>
      <w:bookmarkStart w:id="68" w:name="_Toc229834671"/>
      <w:r w:rsidRPr="00C316F8">
        <w:t>7</w:t>
      </w:r>
      <w:r w:rsidR="00D961A3" w:rsidRPr="00C316F8">
        <w:t>.3.4</w:t>
      </w:r>
      <w:r w:rsidR="00D961A3" w:rsidRPr="00C316F8">
        <w:tab/>
        <w:t>Zonas más afectadas por el conflicto armado y municipios con programas de desarrollo con enfoque territorial</w:t>
      </w:r>
      <w:bookmarkEnd w:id="68"/>
      <w:r w:rsidR="00D961A3" w:rsidRPr="00C316F8">
        <w:t xml:space="preserve"> </w:t>
      </w:r>
    </w:p>
    <w:p w14:paraId="724940BD" w14:textId="77777777" w:rsidR="00D961A3" w:rsidRPr="00C316F8" w:rsidRDefault="00D961A3" w:rsidP="00D961A3">
      <w:pPr>
        <w:rPr>
          <w:lang w:val="es-CO"/>
        </w:rPr>
      </w:pPr>
    </w:p>
    <w:p w14:paraId="7F459914" w14:textId="1A806F76" w:rsidR="00D961A3" w:rsidRPr="00C316F8" w:rsidRDefault="00D961A3" w:rsidP="00D961A3">
      <w:pPr>
        <w:jc w:val="both"/>
        <w:rPr>
          <w:rFonts w:cstheme="minorHAnsi"/>
          <w:sz w:val="24"/>
          <w:szCs w:val="24"/>
          <w:lang w:val="es-CO"/>
        </w:rPr>
      </w:pPr>
      <w:r w:rsidRPr="00C316F8">
        <w:rPr>
          <w:rFonts w:cstheme="minorHAnsi"/>
          <w:sz w:val="24"/>
          <w:szCs w:val="24"/>
          <w:lang w:val="es-CO"/>
        </w:rPr>
        <w:lastRenderedPageBreak/>
        <w:t>Las zonas ZOMAC comprenden 344 municipios afectados por el conflicto armado. Los criterios de selección incluyeron variables como la alta incidencia del conflicto armado y la vulnerabilidad de estas áreas. Se utilizaron indicadores de debilidad institucional (falta de capacidad para generar ingresos propios), pobreza multidimensional (superior al 49%) y exclusión de las principales aglomeraciones urbanas del país. Las zonas ZOMAC se caracterizan por altos niveles de violencia, desplazamiento forzado y falta de acceso a servicios básicos. Para abordar estas problemáticas, se implementaron los Programas de Desarrollo con Enfoque Territorial (PDET) como parte del Acuerdo de Paz firmado en 2016 con las FARC. El PDET representa una estrategia integral para atender las secuelas del conflicto armado en Colombia y alcanzar un desarrollo sostenible en las zonas más afectadas por la violencia. El concepto de ZOMAC se originó con la Ley de Víctimas y Restitución de Tierras de 2011, cuyo objetivo es reparar los daños ocasionados por el conflicto</w:t>
      </w:r>
      <w:r w:rsidR="003B4F37" w:rsidRPr="00C316F8">
        <w:rPr>
          <w:rFonts w:cstheme="minorHAnsi"/>
          <w:sz w:val="24"/>
          <w:szCs w:val="24"/>
          <w:lang w:val="es-CO"/>
        </w:rPr>
        <w:t>.</w:t>
      </w:r>
      <w:r w:rsidRPr="00C316F8">
        <w:rPr>
          <w:rFonts w:cstheme="minorHAnsi"/>
          <w:bCs/>
          <w:sz w:val="24"/>
          <w:szCs w:val="24"/>
          <w:lang w:val="es-CO"/>
        </w:rPr>
        <w:t xml:space="preserve">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4yqLkCws","properties":{"formattedCitation":"(67,114,115,120)","plainCitation":"(67,114,115,120)","noteIndex":0},"citationItems":[{"id":1631,"uris":["http://zotero.org/users/5785509/items/DUVDDNQY"],"itemData":{"id":1631,"type":"webpage","language":"es","title":"Beneficios tributarios para empresas que inviertan en 344 municipios afectados por el conflicto","URL":"https://2022.dnp.gov.co:443/Paginas/Beneficios-tributarios-para-empresas-que-inviertan-en-344-municipios-afectados-por-el-conflicto.aspx","accessed":{"date-parts":[["2024",7,28]]}}},{"id":1466,"uris":["http://zotero.org/users/5785509/items/NKR4Q4KT"],"itemData":{"id":1466,"type":"article-journal","container-title":"Ciência &amp; Saúde Coletiva","ISSN":"1413-8123","journalAbbreviation":"Ciência &amp; Saúde Coletiva","page":"349-361","publisher":"SciELO Public Health","title":"The effects of the armed conflict on the life and health in Colombia","volume":"11","author":[{"family":"Franco","given":"Saúl"},{"family":"Suarez","given":"Clara Mercedes"},{"family":"Naranjo","given":"Claudia Beatriz"},{"family":"Báez","given":"Liliana Carolina"},{"family":"Rozo","given":"Patricia"}],"issued":{"date-parts":[["2006"]]}}},{"id":882,"uris":["http://zotero.org/users/5785509/items/YP27YKGR"],"itemData":{"id":882,"type":"webpage","title":"Ley 1819 de 2016 - Gestor Normativo - Función Pública","URL":"https://www.funcionpublica.gov.co/eva/gestornormativo/norma.php?i=79140","accessed":{"date-parts":[["2023",10,22]]}}},{"id":883,"uris":["http://zotero.org/users/5785509/items/Q2XMWFVU"],"itemData":{"id":883,"type":"webpage","title":"Decreto Ley 893 de 2017 - Gestor Normativo - Función Pública","URL":"https://www.funcionpublica.gov.co/eva/gestornormativo/norma.php?i=81856","accessed":{"date-parts":[["2023",10,22]]}}}],"schema":"https://github.com/citation-style-language/schema/raw/master/csl-citation.json"}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(67,114,115,120)</w:t>
      </w:r>
      <w:r w:rsidRPr="00C316F8">
        <w:rPr>
          <w:rFonts w:cstheme="minorHAnsi"/>
          <w:sz w:val="24"/>
          <w:szCs w:val="24"/>
        </w:rPr>
        <w:fldChar w:fldCharType="end"/>
      </w:r>
    </w:p>
    <w:p w14:paraId="2C0E8F60" w14:textId="37C6CE13" w:rsidR="00D961A3" w:rsidRPr="00C316F8" w:rsidRDefault="003D695D" w:rsidP="00D961A3">
      <w:pPr>
        <w:pStyle w:val="Ttulo1"/>
        <w:rPr>
          <w:lang w:val="es-CO"/>
        </w:rPr>
      </w:pPr>
      <w:bookmarkStart w:id="69" w:name="_Toc229834672"/>
      <w:r w:rsidRPr="00C316F8">
        <w:rPr>
          <w:lang w:val="es-CO"/>
        </w:rPr>
        <w:t>7</w:t>
      </w:r>
      <w:r w:rsidR="00D961A3" w:rsidRPr="00C316F8">
        <w:rPr>
          <w:lang w:val="es-CO"/>
        </w:rPr>
        <w:t>.4</w:t>
      </w:r>
      <w:r w:rsidR="00D961A3" w:rsidRPr="00C316F8">
        <w:rPr>
          <w:lang w:val="es-CO"/>
        </w:rPr>
        <w:tab/>
        <w:t>ANÁLISIS DE DATOS</w:t>
      </w:r>
      <w:bookmarkEnd w:id="69"/>
    </w:p>
    <w:p w14:paraId="459F1A22" w14:textId="77777777" w:rsidR="00D961A3" w:rsidRPr="00C316F8" w:rsidRDefault="00D961A3" w:rsidP="00D961A3">
      <w:pPr>
        <w:rPr>
          <w:lang w:val="es-CO"/>
        </w:rPr>
      </w:pPr>
    </w:p>
    <w:p w14:paraId="03BA7667" w14:textId="6EF6392F"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Las tasas de letalidad (TL) se calcularon utilizando los datos demográficos y de mortalidad provenientes de la base de datos de COVID-19 del INS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{"citationID":"L95wPuMO","properties":{"formattedCitation":"(82)","plainCitation":"(82)","noteIndex":0},"citationItems":[{"id":406,"uris":["http://zotero.org/users/5785509/items/AIV78BQF"],"itemData":{"id":406,"type":"webpage","title":"Coronavirus Colombia","URL":"https://www.ins.gov.co/Noticias/Paginas/Coronavirus.aspx","accessed":{"date-parts":[["2023",6,12]]}}}],"schema":"https://github.com/citation-style-language/schema/raw/master/csl-citation.json"}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(82)</w:t>
      </w:r>
      <w:r w:rsidRPr="00C316F8">
        <w:rPr>
          <w:rFonts w:cstheme="minorHAnsi"/>
          <w:sz w:val="24"/>
          <w:szCs w:val="24"/>
        </w:rPr>
        <w:fldChar w:fldCharType="end"/>
      </w:r>
      <w:r w:rsidRPr="00C316F8">
        <w:rPr>
          <w:rFonts w:cstheme="minorHAnsi"/>
          <w:sz w:val="24"/>
          <w:szCs w:val="24"/>
          <w:lang w:val="es-CO"/>
        </w:rPr>
        <w:t>. En el presente estudio, la TL se definió como la proporción de muertes con respecto al número total de casos confirmados de COVID-19, y posteriormente se multiplicó por 100 para obtener un valor porcentual. Este indicador es fundamental para evaluar la gravedad de la enfermedad, ya que muestra el porcentaje de personas infectadas que fallecieron a causa de la infección.</w:t>
      </w:r>
    </w:p>
    <w:p w14:paraId="235CFE0C" w14:textId="77777777" w:rsidR="00D961A3" w:rsidRPr="00C316F8" w:rsidRDefault="00D961A3" w:rsidP="00D961A3">
      <w:pPr>
        <w:jc w:val="both"/>
        <w:rPr>
          <w:rFonts w:cstheme="minorHAnsi"/>
          <w:sz w:val="24"/>
          <w:szCs w:val="24"/>
          <w:lang w:val="es-CO"/>
        </w:rPr>
      </w:pPr>
    </w:p>
    <w:p w14:paraId="418AE7C7"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t>Fórmula:</w:t>
      </w:r>
    </w:p>
    <w:p w14:paraId="08EA99D5" w14:textId="77777777" w:rsidR="00D961A3" w:rsidRPr="00C316F8" w:rsidRDefault="00D961A3" w:rsidP="00D961A3">
      <w:pPr>
        <w:jc w:val="both"/>
        <w:rPr>
          <w:rFonts w:cstheme="minorHAnsi"/>
          <w:sz w:val="24"/>
          <w:szCs w:val="24"/>
          <w:lang w:val="es-CO"/>
        </w:rPr>
      </w:pPr>
      <m:oMathPara>
        <m:oMath>
          <m:r>
            <w:rPr>
              <w:rFonts w:ascii="Cambria Math" w:hAnsi="Cambria Math" w:cstheme="minorHAnsi"/>
              <w:sz w:val="24"/>
              <w:szCs w:val="24"/>
            </w:rPr>
            <m:t>TL</m:t>
          </m:r>
          <m:r>
            <w:rPr>
              <w:rFonts w:ascii="Cambria Math" w:hAnsi="Cambria Math" w:cstheme="minorHAnsi"/>
              <w:sz w:val="24"/>
              <w:szCs w:val="24"/>
              <w:lang w:val="es-CO"/>
            </w:rPr>
            <m:t>=</m:t>
          </m:r>
          <m:d>
            <m:dPr>
              <m:ctrlPr>
                <w:rPr>
                  <w:rFonts w:ascii="Cambria Math" w:hAnsi="Cambria Math" w:cstheme="minorHAnsi"/>
                  <w:i/>
                  <w:sz w:val="24"/>
                  <w:szCs w:val="24"/>
                </w:rPr>
              </m:ctrlPr>
            </m:dPr>
            <m:e>
              <m:f>
                <m:fPr>
                  <m:ctrlPr>
                    <w:rPr>
                      <w:rFonts w:ascii="Cambria Math" w:hAnsi="Cambria Math" w:cstheme="minorHAnsi"/>
                      <w:i/>
                      <w:sz w:val="24"/>
                      <w:szCs w:val="24"/>
                    </w:rPr>
                  </m:ctrlPr>
                </m:fPr>
                <m:num>
                  <m:r>
                    <w:rPr>
                      <w:rFonts w:ascii="Cambria Math" w:hAnsi="Cambria Math" w:cstheme="minorHAnsi"/>
                      <w:sz w:val="24"/>
                      <w:szCs w:val="24"/>
                    </w:rPr>
                    <m:t>Total</m:t>
                  </m:r>
                  <m:r>
                    <w:rPr>
                      <w:rFonts w:ascii="Cambria Math" w:hAnsi="Cambria Math" w:cstheme="minorHAnsi"/>
                      <w:sz w:val="24"/>
                      <w:szCs w:val="24"/>
                      <w:lang w:val="es-CO"/>
                    </w:rPr>
                    <m:t xml:space="preserve"> </m:t>
                  </m:r>
                  <m:r>
                    <w:rPr>
                      <w:rFonts w:ascii="Cambria Math" w:hAnsi="Cambria Math" w:cstheme="minorHAnsi"/>
                      <w:sz w:val="24"/>
                      <w:szCs w:val="24"/>
                    </w:rPr>
                    <m:t>de muertes</m:t>
                  </m:r>
                </m:num>
                <m:den>
                  <m:r>
                    <w:rPr>
                      <w:rFonts w:ascii="Cambria Math" w:hAnsi="Cambria Math" w:cstheme="minorHAnsi"/>
                      <w:sz w:val="24"/>
                      <w:szCs w:val="24"/>
                    </w:rPr>
                    <m:t>Total</m:t>
                  </m:r>
                  <m:r>
                    <w:rPr>
                      <w:rFonts w:ascii="Cambria Math" w:hAnsi="Cambria Math" w:cstheme="minorHAnsi"/>
                      <w:sz w:val="24"/>
                      <w:szCs w:val="24"/>
                      <w:lang w:val="es-CO"/>
                    </w:rPr>
                    <m:t xml:space="preserve"> </m:t>
                  </m:r>
                  <m:r>
                    <w:rPr>
                      <w:rFonts w:ascii="Cambria Math" w:hAnsi="Cambria Math" w:cstheme="minorHAnsi"/>
                      <w:sz w:val="24"/>
                      <w:szCs w:val="24"/>
                    </w:rPr>
                    <m:t>de casos confirmados</m:t>
                  </m:r>
                  <m:r>
                    <w:rPr>
                      <w:rFonts w:ascii="Cambria Math" w:hAnsi="Cambria Math" w:cstheme="minorHAnsi"/>
                      <w:sz w:val="24"/>
                      <w:szCs w:val="24"/>
                      <w:lang w:val="es-CO"/>
                    </w:rPr>
                    <m:t xml:space="preserve"> </m:t>
                  </m:r>
                </m:den>
              </m:f>
            </m:e>
          </m:d>
          <m:r>
            <w:rPr>
              <w:rFonts w:ascii="Cambria Math" w:hAnsi="Cambria Math" w:cstheme="minorHAnsi"/>
              <w:sz w:val="24"/>
              <w:szCs w:val="24"/>
            </w:rPr>
            <m:t>x</m:t>
          </m:r>
          <m:r>
            <w:rPr>
              <w:rFonts w:ascii="Cambria Math" w:hAnsi="Cambria Math" w:cstheme="minorHAnsi"/>
              <w:sz w:val="24"/>
              <w:szCs w:val="24"/>
              <w:lang w:val="es-CO"/>
            </w:rPr>
            <m:t>100</m:t>
          </m:r>
        </m:oMath>
      </m:oMathPara>
    </w:p>
    <w:p w14:paraId="2B1C405F" w14:textId="77777777" w:rsidR="00D961A3" w:rsidRPr="00C316F8" w:rsidRDefault="00D961A3" w:rsidP="00D961A3">
      <w:pPr>
        <w:jc w:val="both"/>
        <w:rPr>
          <w:rFonts w:cstheme="minorHAnsi"/>
          <w:sz w:val="24"/>
          <w:szCs w:val="24"/>
          <w:lang w:val="es-CO"/>
        </w:rPr>
      </w:pPr>
    </w:p>
    <w:p w14:paraId="75DE34A1"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t>Las variables cuantitativas, incluyendo la edad y los índices socioeconómicos, se presentaron como medianas y rangos intercuartílicos (RIC), garantizando la comparabilidad entre todas las áreas geográficas y grupos étnicos. Las variables categóricas, como el sexo, la etnia, el PDET y la ZOMAC, se presentaron como frecuencias absolutas y porcentajes. La normalidad de las variables cuantitativas se evaluó mediante la prueba de Shapiro‒Wilk.</w:t>
      </w:r>
    </w:p>
    <w:p w14:paraId="68960690"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Las asociaciones entre variables categóricas se evaluaron mediante la prueba de chi-cuadrado. Para comparar medianas entre dos grupos independientes se utilizó la prueba no paramétrica de Mann‒Whitney U, mientras que para la comparación de medianas entre tres o más grupos independientes se empleó la prueba de Kruskal‒Wallis. Estos métodos no paramétricos permitieron garantizar la comparabilidad entre diversos grupos con </w:t>
      </w:r>
      <w:r w:rsidRPr="00C316F8">
        <w:rPr>
          <w:rFonts w:cstheme="minorHAnsi"/>
          <w:sz w:val="24"/>
          <w:szCs w:val="24"/>
          <w:lang w:val="es-CO"/>
        </w:rPr>
        <w:lastRenderedPageBreak/>
        <w:t xml:space="preserve">distribuciones potencialmente no normales. Se consideró significancia estadística un valor de </w:t>
      </w:r>
      <w:r w:rsidRPr="00C316F8">
        <w:rPr>
          <w:rFonts w:cstheme="minorHAnsi"/>
          <w:sz w:val="24"/>
          <w:szCs w:val="24"/>
        </w:rPr>
        <w:t>α</w:t>
      </w:r>
      <w:r w:rsidRPr="00C316F8">
        <w:rPr>
          <w:rFonts w:cstheme="minorHAnsi"/>
          <w:sz w:val="24"/>
          <w:szCs w:val="24"/>
          <w:lang w:val="es-CO"/>
        </w:rPr>
        <w:t xml:space="preserve"> = 0,05.</w:t>
      </w:r>
    </w:p>
    <w:p w14:paraId="5E86A8BD"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t>Se realizó un análisis bivariado para investigar las asociaciones entre diversas variables independientes y la mortalidad por COVID-19. Para analizar la asociación entre sexo y mortalidad por COVID-19, se calculó la razón de momios (OR) de Mantel-Haenszel, estratificada por grupos de edad, con el fin de ajustar por posibles diferencias en la distribución etaria y aislar mejor el efecto del sexo sobre la mortalidad. Asimismo, para evaluar la asociación entre factores demográficos y territoriales con la mortalidad por COVID-19, se construyeron tablas de contingencia 2×2 para las variables sexo, clasificación ZOMAC, clasificación PDET, población afrocolombiana y población indígena. Para cada comparación se estimó la OR con su correspondiente intervalo de confianza del 95% (IC95%), y se aplicó la prueba de chi-cuadrado de Pearson (</w:t>
      </w:r>
      <w:r w:rsidRPr="00C316F8">
        <w:rPr>
          <w:rFonts w:cstheme="minorHAnsi"/>
          <w:sz w:val="24"/>
          <w:szCs w:val="24"/>
        </w:rPr>
        <w:t>χ</w:t>
      </w:r>
      <w:r w:rsidRPr="00C316F8">
        <w:rPr>
          <w:rFonts w:cstheme="minorHAnsi"/>
          <w:sz w:val="24"/>
          <w:szCs w:val="24"/>
          <w:lang w:val="es-CO"/>
        </w:rPr>
        <w:t>²) para evaluar la significancia estadística de las asociaciones observadas.</w:t>
      </w:r>
    </w:p>
    <w:p w14:paraId="111C7021"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t>Para el análisis multinivel, se empleó un modelo de dos niveles, utilizando los municipios como Nivel 1 y los departamentos como Nivel 2, con la mortalidad como variable de desenlace. La base de datos se construyó incluyendo variables individuales como edad, sexo y etnia, mientras que las variables de área se asignaron a cada municipio, incluyendo el índice CMPI como medida de las condiciones socioeconómicas, así como su clasificación dentro de ZOMAC y/o PDET, según correspondiera. El modelo consideró variables individuales, que representan características personales, y variables de área, que reflejan condiciones socioeconómicas y territoriales a nivel municipal. Para evaluar la variabilidad a nivel departamental manteniendo una estructura de dos niveles, se utilizó la mediana de la razón de momios (MOR), que permite comparar las OR entre municipios y departamentos. El análisis de los datos se realizó en STATA versión 14 MP (Stata Corp.) y Excel 2019.</w:t>
      </w:r>
    </w:p>
    <w:p w14:paraId="36DD069C" w14:textId="77777777" w:rsidR="00AD2D93" w:rsidRPr="00C316F8" w:rsidRDefault="00AD2D93" w:rsidP="00D961A3">
      <w:pPr>
        <w:jc w:val="both"/>
        <w:rPr>
          <w:rFonts w:cstheme="minorHAnsi"/>
          <w:sz w:val="24"/>
          <w:szCs w:val="24"/>
          <w:lang w:val="es-CO"/>
        </w:rPr>
      </w:pPr>
    </w:p>
    <w:p w14:paraId="0B066281" w14:textId="0709779D" w:rsidR="00D961A3" w:rsidRPr="00C316F8" w:rsidRDefault="003D695D" w:rsidP="00D961A3">
      <w:pPr>
        <w:pStyle w:val="Ttulo1"/>
        <w:rPr>
          <w:lang w:val="es-CO"/>
        </w:rPr>
      </w:pPr>
      <w:bookmarkStart w:id="70" w:name="_Toc229834673"/>
      <w:r w:rsidRPr="00C316F8">
        <w:rPr>
          <w:lang w:val="es-CO"/>
        </w:rPr>
        <w:t>7</w:t>
      </w:r>
      <w:r w:rsidR="00D961A3" w:rsidRPr="00C316F8">
        <w:rPr>
          <w:lang w:val="es-CO"/>
        </w:rPr>
        <w:t xml:space="preserve">.5 </w:t>
      </w:r>
      <w:r w:rsidR="00D961A3" w:rsidRPr="00C316F8">
        <w:rPr>
          <w:lang w:val="es-CO"/>
        </w:rPr>
        <w:tab/>
        <w:t>CONSIDERACIONES ÉTICAS</w:t>
      </w:r>
      <w:bookmarkEnd w:id="70"/>
    </w:p>
    <w:p w14:paraId="0EFDB167" w14:textId="77777777" w:rsidR="00D961A3" w:rsidRPr="00C316F8" w:rsidRDefault="00D961A3" w:rsidP="00D961A3">
      <w:pPr>
        <w:rPr>
          <w:lang w:val="es-CO"/>
        </w:rPr>
      </w:pPr>
    </w:p>
    <w:p w14:paraId="358B7B49"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t>Este estudio se ajustó a los principios éticos establecidos en la Declaración de Helsinki-Fortaleza (Brasil, 2013) y cumplió con la normativa colombiana vigente. Según la Resolución 8430 de 1993, en su Artículo 11, el estudio fue clasificado como de riesgo mínimo. Los datos utilizados fueron fuentes secundarias, públicas y anonimizadas, lo que garantizó la protección de la privacidad y el mantenimiento de la confidencialidad.</w:t>
      </w:r>
    </w:p>
    <w:p w14:paraId="139AF2BB" w14:textId="77777777" w:rsidR="00AD2D93" w:rsidRPr="00C316F8" w:rsidRDefault="00AD2D93" w:rsidP="00D961A3">
      <w:pPr>
        <w:jc w:val="both"/>
        <w:rPr>
          <w:rFonts w:cstheme="minorHAnsi"/>
          <w:sz w:val="24"/>
          <w:szCs w:val="24"/>
          <w:lang w:val="es-CO"/>
        </w:rPr>
      </w:pPr>
    </w:p>
    <w:p w14:paraId="43056235" w14:textId="24966F9C" w:rsidR="00D961A3" w:rsidRPr="00C316F8" w:rsidRDefault="003D695D" w:rsidP="00D961A3">
      <w:pPr>
        <w:pStyle w:val="Ttulo1"/>
        <w:rPr>
          <w:lang w:val="es-CO"/>
        </w:rPr>
      </w:pPr>
      <w:bookmarkStart w:id="71" w:name="_Toc229834674"/>
      <w:r w:rsidRPr="00C316F8">
        <w:rPr>
          <w:lang w:val="es-CO"/>
        </w:rPr>
        <w:t>7</w:t>
      </w:r>
      <w:r w:rsidR="00D961A3" w:rsidRPr="00C316F8">
        <w:rPr>
          <w:lang w:val="es-CO"/>
        </w:rPr>
        <w:t>.6</w:t>
      </w:r>
      <w:r w:rsidR="00D961A3" w:rsidRPr="00C316F8">
        <w:rPr>
          <w:lang w:val="es-CO"/>
        </w:rPr>
        <w:tab/>
        <w:t xml:space="preserve"> </w:t>
      </w:r>
      <w:r w:rsidR="00D961A3" w:rsidRPr="00C316F8">
        <w:rPr>
          <w:rFonts w:asciiTheme="minorHAnsi" w:hAnsiTheme="minorHAnsi"/>
          <w:lang w:val="es-CO"/>
        </w:rPr>
        <w:t>RESULT</w:t>
      </w:r>
      <w:r w:rsidR="00D961A3" w:rsidRPr="00C316F8">
        <w:rPr>
          <w:lang w:val="es-CO"/>
        </w:rPr>
        <w:t>ADOS</w:t>
      </w:r>
      <w:bookmarkEnd w:id="71"/>
    </w:p>
    <w:p w14:paraId="4095580E" w14:textId="77777777" w:rsidR="00D961A3" w:rsidRPr="00C316F8" w:rsidRDefault="00D961A3" w:rsidP="00D961A3">
      <w:pPr>
        <w:rPr>
          <w:lang w:val="es-CO"/>
        </w:rPr>
      </w:pPr>
    </w:p>
    <w:p w14:paraId="3C5FF1E5"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lastRenderedPageBreak/>
        <w:t>En Colombia, se notificaron un total de 6.313.872 casos confirmados de COVID-19 entre el 6 de marzo de 2020 y el 31 de diciembre de 2022. La distribución anual de casos fue de 1.746.949 en 2020, seguida de 3.506.804 en 2021 y 1.060.119 en 2022, con un total de 142.497 muertes durante el mismo período. La tasa de letalidad registrada en ese intervalo fue del 2,26%. Del total de casos confirmados, el 2,94% de la mortalidad ocurrió en hombres, en comparación con el 1,66% en mujeres. De igual forma, se observó un aumento de la mortalidad con la edad. La Tabla 6 presenta estos hallazgos con mayor detalle.</w:t>
      </w:r>
    </w:p>
    <w:p w14:paraId="47CFABBE" w14:textId="59BB2A1B"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La tasa de letalidad registrada en las poblaciones </w:t>
      </w:r>
      <w:r w:rsidR="00AD2D93" w:rsidRPr="00C316F8">
        <w:rPr>
          <w:rFonts w:cstheme="minorHAnsi"/>
          <w:sz w:val="24"/>
          <w:szCs w:val="24"/>
          <w:lang w:val="es-CO"/>
        </w:rPr>
        <w:t>blancas</w:t>
      </w:r>
      <w:r w:rsidRPr="00C316F8">
        <w:rPr>
          <w:rFonts w:cstheme="minorHAnsi"/>
          <w:sz w:val="24"/>
          <w:szCs w:val="24"/>
          <w:lang w:val="es-CO"/>
        </w:rPr>
        <w:t xml:space="preserve"> y mestiza fue del 2,24%. En contraste, los grupos afrocolombiano e indígena presentaron tasas de 2,58% y 2,75%, respectivamente. Al examinar los municipios clasificados como ZOMAC, se observó una tasa de 3,61%, mientras que en los municipios PDET se registró una tasa del 3,20%. En los municipios no clasificados como ZOMAC ni como PDET, las tasas fueron de 2,17% y 2,20%, respectivamente (Figura 4).</w:t>
      </w:r>
    </w:p>
    <w:p w14:paraId="00CD8A25" w14:textId="585A6793" w:rsidR="00291619" w:rsidRPr="00C316F8" w:rsidRDefault="00291619" w:rsidP="00291619">
      <w:pPr>
        <w:pStyle w:val="Descripcin"/>
        <w:rPr>
          <w:rFonts w:ascii="Calibri" w:hAnsi="Calibri" w:cs="Calibri"/>
          <w:b/>
          <w:bCs/>
          <w:i w:val="0"/>
          <w:iCs w:val="0"/>
          <w:color w:val="auto"/>
          <w:sz w:val="24"/>
          <w:szCs w:val="24"/>
        </w:rPr>
      </w:pPr>
      <w:bookmarkStart w:id="72" w:name="_Toc229834711"/>
      <w:r w:rsidRPr="00C316F8">
        <w:rPr>
          <w:rFonts w:ascii="Calibri" w:hAnsi="Calibri" w:cs="Calibri"/>
          <w:b/>
          <w:bCs/>
          <w:i w:val="0"/>
          <w:iCs w:val="0"/>
          <w:color w:val="auto"/>
          <w:sz w:val="24"/>
          <w:szCs w:val="24"/>
        </w:rPr>
        <w:t xml:space="preserve">Figura </w:t>
      </w:r>
      <w:r w:rsidRPr="00C316F8">
        <w:rPr>
          <w:rFonts w:ascii="Calibri" w:hAnsi="Calibri" w:cs="Calibri"/>
          <w:b/>
          <w:bCs/>
          <w:i w:val="0"/>
          <w:iCs w:val="0"/>
          <w:color w:val="auto"/>
          <w:sz w:val="24"/>
          <w:szCs w:val="24"/>
        </w:rPr>
        <w:fldChar w:fldCharType="begin"/>
      </w:r>
      <w:r w:rsidRPr="00C316F8">
        <w:rPr>
          <w:rFonts w:ascii="Calibri" w:hAnsi="Calibri" w:cs="Calibri"/>
          <w:b/>
          <w:bCs/>
          <w:i w:val="0"/>
          <w:iCs w:val="0"/>
          <w:color w:val="auto"/>
          <w:sz w:val="24"/>
          <w:szCs w:val="24"/>
        </w:rPr>
        <w:instrText xml:space="preserve"> SEQ Figura \* ARABIC </w:instrText>
      </w:r>
      <w:r w:rsidRPr="00C316F8">
        <w:rPr>
          <w:rFonts w:ascii="Calibri" w:hAnsi="Calibri" w:cs="Calibri"/>
          <w:b/>
          <w:bCs/>
          <w:i w:val="0"/>
          <w:iCs w:val="0"/>
          <w:color w:val="auto"/>
          <w:sz w:val="24"/>
          <w:szCs w:val="24"/>
        </w:rPr>
        <w:fldChar w:fldCharType="separate"/>
      </w:r>
      <w:r w:rsidR="00432859" w:rsidRPr="00C316F8">
        <w:rPr>
          <w:rFonts w:ascii="Calibri" w:hAnsi="Calibri" w:cs="Calibri"/>
          <w:b/>
          <w:bCs/>
          <w:i w:val="0"/>
          <w:iCs w:val="0"/>
          <w:noProof/>
          <w:color w:val="auto"/>
          <w:sz w:val="24"/>
          <w:szCs w:val="24"/>
        </w:rPr>
        <w:t>6</w:t>
      </w:r>
      <w:r w:rsidRPr="00C316F8">
        <w:rPr>
          <w:rFonts w:ascii="Calibri" w:hAnsi="Calibri" w:cs="Calibri"/>
          <w:b/>
          <w:bCs/>
          <w:i w:val="0"/>
          <w:iCs w:val="0"/>
          <w:color w:val="auto"/>
          <w:sz w:val="24"/>
          <w:szCs w:val="24"/>
        </w:rPr>
        <w:fldChar w:fldCharType="end"/>
      </w:r>
      <w:r w:rsidRPr="00C316F8">
        <w:rPr>
          <w:rFonts w:ascii="Calibri" w:hAnsi="Calibri" w:cs="Calibri"/>
          <w:b/>
          <w:bCs/>
          <w:i w:val="0"/>
          <w:iCs w:val="0"/>
          <w:color w:val="auto"/>
          <w:sz w:val="24"/>
          <w:szCs w:val="24"/>
        </w:rPr>
        <w:t>. Letalidad por COVID-19 según grupos étnicos y territorios afectados por el conflicto armado. Colombia, 2020-2022.</w:t>
      </w:r>
      <w:bookmarkEnd w:id="72"/>
    </w:p>
    <w:p w14:paraId="63A61D16" w14:textId="77777777" w:rsidR="00D961A3" w:rsidRPr="00C316F8" w:rsidRDefault="00D961A3" w:rsidP="00D961A3">
      <w:pPr>
        <w:jc w:val="both"/>
        <w:rPr>
          <w:rFonts w:cstheme="minorHAnsi"/>
          <w:bCs/>
          <w:sz w:val="24"/>
          <w:szCs w:val="24"/>
        </w:rPr>
      </w:pPr>
      <w:r w:rsidRPr="00C316F8">
        <w:rPr>
          <w:rFonts w:cstheme="minorHAnsi"/>
          <w:noProof/>
          <w:sz w:val="24"/>
          <w:szCs w:val="24"/>
        </w:rPr>
        <w:drawing>
          <wp:inline distT="0" distB="0" distL="0" distR="0" wp14:anchorId="6A433F7D" wp14:editId="30E797B8">
            <wp:extent cx="4572000" cy="2743200"/>
            <wp:effectExtent l="0" t="0" r="0" b="0"/>
            <wp:docPr id="2" name="Gráfico 1">
              <a:extLst xmlns:a="http://schemas.openxmlformats.org/drawingml/2006/main">
                <a:ext uri="{FF2B5EF4-FFF2-40B4-BE49-F238E27FC236}">
                  <a16:creationId xmlns:a16="http://schemas.microsoft.com/office/drawing/2014/main" id="{021C6A17-66B2-D885-3F44-DA2C1998A6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C285424" w14:textId="77777777" w:rsidR="003B4F37" w:rsidRPr="00C316F8" w:rsidRDefault="003B4F37" w:rsidP="003B4F37">
      <w:pPr>
        <w:jc w:val="both"/>
        <w:rPr>
          <w:rFonts w:eastAsia="Calibri" w:cstheme="minorHAnsi"/>
          <w:sz w:val="24"/>
          <w:szCs w:val="24"/>
          <w:lang w:val="es-CO"/>
        </w:rPr>
      </w:pPr>
      <w:r w:rsidRPr="00C316F8">
        <w:rPr>
          <w:rFonts w:eastAsia="Calibri" w:cstheme="minorHAnsi"/>
          <w:sz w:val="24"/>
          <w:szCs w:val="24"/>
          <w:lang w:val="es-CO"/>
        </w:rPr>
        <w:t>Fuente, elaboración propia.</w:t>
      </w:r>
    </w:p>
    <w:p w14:paraId="76B6B280" w14:textId="501293F7" w:rsidR="00D961A3" w:rsidRPr="00C316F8" w:rsidRDefault="00D961A3" w:rsidP="00D961A3">
      <w:pPr>
        <w:jc w:val="both"/>
        <w:rPr>
          <w:rFonts w:eastAsia="Times New Roman" w:cstheme="minorHAnsi"/>
          <w:sz w:val="24"/>
          <w:szCs w:val="24"/>
          <w:lang w:val="es-CO" w:eastAsia="es-CO"/>
        </w:rPr>
      </w:pPr>
      <w:r w:rsidRPr="00C316F8">
        <w:rPr>
          <w:rFonts w:eastAsia="Times New Roman" w:cstheme="minorHAnsi"/>
          <w:sz w:val="24"/>
          <w:szCs w:val="24"/>
          <w:lang w:val="es-CO" w:eastAsia="es-CO"/>
        </w:rPr>
        <w:t xml:space="preserve">Se realizó una comparación entre las personas que sobrevivieron y las que fallecieron por COVID-19 en Colombia, observándose que los hombres presentaron una tasa de mortalidad del 2,94%, en comparación con el 1,66% en las mujeres. La mortalidad aumentó con la edad, alcanzando el 0,07% en menores de 18 años y el 24,43% en personas de 80 años o más. Además, las tasas de mortalidad fueron de 2,24% en la población blanca y mestiza, 2,58% en la población afrocolombiana y 2,75% en la población indígena. Los municipios clasificados como PDET registraron una tasa de mortalidad del 3,20%, mientras que los clasificados como ZOMAC presentaron una tasa del 3,61%. Las diferencias observadas en </w:t>
      </w:r>
      <w:r w:rsidRPr="00C316F8">
        <w:rPr>
          <w:rFonts w:eastAsia="Times New Roman" w:cstheme="minorHAnsi"/>
          <w:sz w:val="24"/>
          <w:szCs w:val="24"/>
          <w:lang w:val="es-CO" w:eastAsia="es-CO"/>
        </w:rPr>
        <w:lastRenderedPageBreak/>
        <w:t xml:space="preserve">todas las categorías fueron estadísticamente significativas, con un valor de p &lt; 0,0005, como se muestra en la Tabla </w:t>
      </w:r>
      <w:r w:rsidR="003B4F37" w:rsidRPr="00C316F8">
        <w:rPr>
          <w:rFonts w:eastAsia="Times New Roman" w:cstheme="minorHAnsi"/>
          <w:sz w:val="24"/>
          <w:szCs w:val="24"/>
          <w:lang w:val="es-CO" w:eastAsia="es-CO"/>
        </w:rPr>
        <w:t>10</w:t>
      </w:r>
      <w:r w:rsidRPr="00C316F8">
        <w:rPr>
          <w:rFonts w:eastAsia="Times New Roman" w:cstheme="minorHAnsi"/>
          <w:sz w:val="24"/>
          <w:szCs w:val="24"/>
          <w:lang w:val="es-CO" w:eastAsia="es-CO"/>
        </w:rPr>
        <w:t>.</w:t>
      </w:r>
    </w:p>
    <w:p w14:paraId="59EACCB6" w14:textId="77777777" w:rsidR="00D961A3" w:rsidRPr="00C316F8" w:rsidRDefault="00D961A3" w:rsidP="00D961A3">
      <w:pPr>
        <w:jc w:val="both"/>
        <w:rPr>
          <w:rFonts w:eastAsia="Times New Roman" w:cstheme="minorHAnsi"/>
          <w:sz w:val="24"/>
          <w:szCs w:val="24"/>
          <w:lang w:val="es-CO" w:eastAsia="es-CO"/>
        </w:rPr>
      </w:pPr>
    </w:p>
    <w:p w14:paraId="1FBC57D5" w14:textId="4213E2FF" w:rsidR="00D961A3" w:rsidRPr="00C316F8" w:rsidRDefault="00D961A3" w:rsidP="00D961A3">
      <w:pPr>
        <w:pStyle w:val="Descripcin"/>
        <w:keepNext/>
        <w:jc w:val="both"/>
        <w:rPr>
          <w:rFonts w:asciiTheme="minorHAnsi" w:hAnsiTheme="minorHAnsi" w:cstheme="minorHAnsi"/>
          <w:b/>
          <w:bCs/>
          <w:i w:val="0"/>
          <w:iCs w:val="0"/>
          <w:color w:val="auto"/>
          <w:sz w:val="24"/>
          <w:szCs w:val="24"/>
        </w:rPr>
      </w:pPr>
      <w:bookmarkStart w:id="73" w:name="_Toc229834698"/>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10</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Tasas de letalidad por COVID-19 según sexo, grupo de edad, grupo étnico y territorios afectados por el conflicto armado. Colombia, 2020-2022</w:t>
      </w:r>
      <w:bookmarkEnd w:id="73"/>
    </w:p>
    <w:p w14:paraId="17824792" w14:textId="77777777" w:rsidR="00D961A3" w:rsidRPr="00C316F8" w:rsidRDefault="00D961A3" w:rsidP="00D961A3">
      <w:pPr>
        <w:rPr>
          <w:lang w:val="es-CO"/>
        </w:rPr>
      </w:pPr>
    </w:p>
    <w:tbl>
      <w:tblPr>
        <w:tblStyle w:val="Tablaconcuadrcula"/>
        <w:tblW w:w="0" w:type="auto"/>
        <w:tblLook w:val="04A0" w:firstRow="1" w:lastRow="0" w:firstColumn="1" w:lastColumn="0" w:noHBand="0" w:noVBand="1"/>
      </w:tblPr>
      <w:tblGrid>
        <w:gridCol w:w="2576"/>
        <w:gridCol w:w="2064"/>
        <w:gridCol w:w="1876"/>
        <w:gridCol w:w="1136"/>
      </w:tblGrid>
      <w:tr w:rsidR="00D961A3" w:rsidRPr="00C316F8" w14:paraId="725C2CA0" w14:textId="77777777" w:rsidTr="00727B5B">
        <w:tc>
          <w:tcPr>
            <w:tcW w:w="0" w:type="auto"/>
          </w:tcPr>
          <w:p w14:paraId="7C00608F" w14:textId="77777777" w:rsidR="00D961A3" w:rsidRPr="00C316F8" w:rsidRDefault="00D961A3" w:rsidP="00727B5B">
            <w:pPr>
              <w:jc w:val="both"/>
              <w:rPr>
                <w:rFonts w:cstheme="minorHAnsi"/>
                <w:b/>
                <w:sz w:val="24"/>
                <w:szCs w:val="24"/>
              </w:rPr>
            </w:pPr>
            <w:r w:rsidRPr="00C316F8">
              <w:rPr>
                <w:rFonts w:cstheme="minorHAnsi"/>
                <w:b/>
                <w:sz w:val="24"/>
                <w:szCs w:val="24"/>
              </w:rPr>
              <w:t>GENDER</w:t>
            </w:r>
          </w:p>
        </w:tc>
        <w:tc>
          <w:tcPr>
            <w:tcW w:w="0" w:type="auto"/>
          </w:tcPr>
          <w:p w14:paraId="35855AD1" w14:textId="77777777" w:rsidR="00D961A3" w:rsidRPr="00C316F8" w:rsidRDefault="00D961A3" w:rsidP="00727B5B">
            <w:pPr>
              <w:jc w:val="both"/>
              <w:rPr>
                <w:rFonts w:cstheme="minorHAnsi"/>
                <w:b/>
                <w:sz w:val="24"/>
                <w:szCs w:val="24"/>
              </w:rPr>
            </w:pPr>
            <w:r w:rsidRPr="00C316F8">
              <w:rPr>
                <w:rFonts w:cstheme="minorHAnsi"/>
                <w:b/>
                <w:sz w:val="24"/>
                <w:szCs w:val="24"/>
              </w:rPr>
              <w:t>ALIVE n=6,171,375</w:t>
            </w:r>
          </w:p>
        </w:tc>
        <w:tc>
          <w:tcPr>
            <w:tcW w:w="0" w:type="auto"/>
          </w:tcPr>
          <w:p w14:paraId="57F9C9FC" w14:textId="77777777" w:rsidR="00D961A3" w:rsidRPr="00C316F8" w:rsidRDefault="00D961A3" w:rsidP="00727B5B">
            <w:pPr>
              <w:jc w:val="both"/>
              <w:rPr>
                <w:rFonts w:cstheme="minorHAnsi"/>
                <w:b/>
                <w:sz w:val="24"/>
                <w:szCs w:val="24"/>
              </w:rPr>
            </w:pPr>
            <w:r w:rsidRPr="00C316F8">
              <w:rPr>
                <w:rFonts w:cstheme="minorHAnsi"/>
                <w:b/>
                <w:sz w:val="24"/>
                <w:szCs w:val="24"/>
              </w:rPr>
              <w:t>DEAD n=142,497</w:t>
            </w:r>
          </w:p>
        </w:tc>
        <w:tc>
          <w:tcPr>
            <w:tcW w:w="0" w:type="auto"/>
          </w:tcPr>
          <w:p w14:paraId="24C69C05" w14:textId="77777777" w:rsidR="00D961A3" w:rsidRPr="00C316F8" w:rsidRDefault="00D961A3" w:rsidP="00727B5B">
            <w:pPr>
              <w:jc w:val="both"/>
              <w:rPr>
                <w:rFonts w:cstheme="minorHAnsi"/>
                <w:b/>
                <w:sz w:val="24"/>
                <w:szCs w:val="24"/>
              </w:rPr>
            </w:pPr>
          </w:p>
        </w:tc>
      </w:tr>
      <w:tr w:rsidR="00D961A3" w:rsidRPr="00C316F8" w14:paraId="4AA3A210" w14:textId="77777777" w:rsidTr="00727B5B">
        <w:tc>
          <w:tcPr>
            <w:tcW w:w="0" w:type="auto"/>
          </w:tcPr>
          <w:p w14:paraId="5528FAE6" w14:textId="77777777" w:rsidR="00D961A3" w:rsidRPr="00C316F8" w:rsidRDefault="00D961A3" w:rsidP="00727B5B">
            <w:pPr>
              <w:jc w:val="both"/>
              <w:rPr>
                <w:rFonts w:cstheme="minorHAnsi"/>
                <w:bCs/>
                <w:sz w:val="24"/>
                <w:szCs w:val="24"/>
              </w:rPr>
            </w:pPr>
            <w:r w:rsidRPr="00C316F8">
              <w:rPr>
                <w:rFonts w:cstheme="minorHAnsi"/>
                <w:bCs/>
                <w:sz w:val="24"/>
                <w:szCs w:val="24"/>
              </w:rPr>
              <w:t>FEMALE</w:t>
            </w:r>
          </w:p>
        </w:tc>
        <w:tc>
          <w:tcPr>
            <w:tcW w:w="0" w:type="auto"/>
          </w:tcPr>
          <w:p w14:paraId="202E1E4D" w14:textId="77777777" w:rsidR="00D961A3" w:rsidRPr="00C316F8" w:rsidRDefault="00D961A3" w:rsidP="00727B5B">
            <w:pPr>
              <w:jc w:val="both"/>
              <w:rPr>
                <w:rFonts w:cstheme="minorHAnsi"/>
                <w:sz w:val="24"/>
                <w:szCs w:val="24"/>
              </w:rPr>
            </w:pPr>
            <w:r w:rsidRPr="00C316F8">
              <w:rPr>
                <w:rFonts w:cstheme="minorHAnsi"/>
                <w:sz w:val="24"/>
                <w:szCs w:val="24"/>
              </w:rPr>
              <w:t>98.34%</w:t>
            </w:r>
          </w:p>
        </w:tc>
        <w:tc>
          <w:tcPr>
            <w:tcW w:w="0" w:type="auto"/>
          </w:tcPr>
          <w:p w14:paraId="244D3429" w14:textId="77777777" w:rsidR="00D961A3" w:rsidRPr="00C316F8" w:rsidRDefault="00D961A3" w:rsidP="00727B5B">
            <w:pPr>
              <w:jc w:val="both"/>
              <w:rPr>
                <w:rFonts w:cstheme="minorHAnsi"/>
                <w:sz w:val="24"/>
                <w:szCs w:val="24"/>
              </w:rPr>
            </w:pPr>
            <w:r w:rsidRPr="00C316F8">
              <w:rPr>
                <w:rFonts w:cstheme="minorHAnsi"/>
                <w:sz w:val="24"/>
                <w:szCs w:val="24"/>
              </w:rPr>
              <w:t>1.66%</w:t>
            </w:r>
          </w:p>
        </w:tc>
        <w:tc>
          <w:tcPr>
            <w:tcW w:w="0" w:type="auto"/>
            <w:vMerge w:val="restart"/>
          </w:tcPr>
          <w:p w14:paraId="40D6C79C" w14:textId="77777777" w:rsidR="00D961A3" w:rsidRPr="00C316F8" w:rsidRDefault="00D961A3" w:rsidP="00727B5B">
            <w:pPr>
              <w:jc w:val="both"/>
              <w:rPr>
                <w:rFonts w:cstheme="minorHAnsi"/>
                <w:sz w:val="24"/>
                <w:szCs w:val="24"/>
              </w:rPr>
            </w:pPr>
          </w:p>
          <w:p w14:paraId="0AB486CA" w14:textId="77777777" w:rsidR="00D961A3" w:rsidRPr="00C316F8" w:rsidRDefault="00D961A3" w:rsidP="00727B5B">
            <w:pPr>
              <w:jc w:val="both"/>
              <w:rPr>
                <w:rFonts w:cstheme="minorHAnsi"/>
                <w:sz w:val="24"/>
                <w:szCs w:val="24"/>
              </w:rPr>
            </w:pPr>
            <w:r w:rsidRPr="00C316F8">
              <w:rPr>
                <w:rFonts w:cstheme="minorHAnsi"/>
                <w:sz w:val="24"/>
                <w:szCs w:val="24"/>
              </w:rPr>
              <w:t>P&lt;0.0005</w:t>
            </w:r>
          </w:p>
        </w:tc>
      </w:tr>
      <w:tr w:rsidR="00D961A3" w:rsidRPr="00C316F8" w14:paraId="54D39CD5" w14:textId="77777777" w:rsidTr="00727B5B">
        <w:tc>
          <w:tcPr>
            <w:tcW w:w="0" w:type="auto"/>
          </w:tcPr>
          <w:p w14:paraId="028D1FE0" w14:textId="77777777" w:rsidR="00D961A3" w:rsidRPr="00C316F8" w:rsidRDefault="00D961A3" w:rsidP="00727B5B">
            <w:pPr>
              <w:jc w:val="both"/>
              <w:rPr>
                <w:rFonts w:cstheme="minorHAnsi"/>
                <w:bCs/>
                <w:sz w:val="24"/>
                <w:szCs w:val="24"/>
              </w:rPr>
            </w:pPr>
            <w:r w:rsidRPr="00C316F8">
              <w:rPr>
                <w:rFonts w:cstheme="minorHAnsi"/>
                <w:bCs/>
                <w:sz w:val="24"/>
                <w:szCs w:val="24"/>
              </w:rPr>
              <w:t>MALE</w:t>
            </w:r>
          </w:p>
        </w:tc>
        <w:tc>
          <w:tcPr>
            <w:tcW w:w="0" w:type="auto"/>
          </w:tcPr>
          <w:p w14:paraId="7B0C829A" w14:textId="77777777" w:rsidR="00D961A3" w:rsidRPr="00C316F8" w:rsidRDefault="00D961A3" w:rsidP="00727B5B">
            <w:pPr>
              <w:jc w:val="both"/>
              <w:rPr>
                <w:rFonts w:cstheme="minorHAnsi"/>
                <w:sz w:val="24"/>
                <w:szCs w:val="24"/>
              </w:rPr>
            </w:pPr>
            <w:r w:rsidRPr="00C316F8">
              <w:rPr>
                <w:rFonts w:cstheme="minorHAnsi"/>
                <w:sz w:val="24"/>
                <w:szCs w:val="24"/>
              </w:rPr>
              <w:t>97.06%</w:t>
            </w:r>
          </w:p>
        </w:tc>
        <w:tc>
          <w:tcPr>
            <w:tcW w:w="0" w:type="auto"/>
          </w:tcPr>
          <w:p w14:paraId="29FB50ED" w14:textId="77777777" w:rsidR="00D961A3" w:rsidRPr="00C316F8" w:rsidRDefault="00D961A3" w:rsidP="00727B5B">
            <w:pPr>
              <w:jc w:val="both"/>
              <w:rPr>
                <w:rFonts w:cstheme="minorHAnsi"/>
                <w:sz w:val="24"/>
                <w:szCs w:val="24"/>
              </w:rPr>
            </w:pPr>
            <w:r w:rsidRPr="00C316F8">
              <w:rPr>
                <w:rFonts w:cstheme="minorHAnsi"/>
                <w:sz w:val="24"/>
                <w:szCs w:val="24"/>
              </w:rPr>
              <w:t>2.94%</w:t>
            </w:r>
          </w:p>
        </w:tc>
        <w:tc>
          <w:tcPr>
            <w:tcW w:w="0" w:type="auto"/>
            <w:vMerge/>
          </w:tcPr>
          <w:p w14:paraId="295C4BC5" w14:textId="77777777" w:rsidR="00D961A3" w:rsidRPr="00C316F8" w:rsidRDefault="00D961A3" w:rsidP="00727B5B">
            <w:pPr>
              <w:jc w:val="both"/>
              <w:rPr>
                <w:rFonts w:cstheme="minorHAnsi"/>
                <w:sz w:val="24"/>
                <w:szCs w:val="24"/>
              </w:rPr>
            </w:pPr>
          </w:p>
        </w:tc>
      </w:tr>
      <w:tr w:rsidR="00D961A3" w:rsidRPr="00C316F8" w14:paraId="6FE67E66" w14:textId="77777777" w:rsidTr="00727B5B">
        <w:tc>
          <w:tcPr>
            <w:tcW w:w="0" w:type="auto"/>
          </w:tcPr>
          <w:p w14:paraId="5534702B" w14:textId="77777777" w:rsidR="00D961A3" w:rsidRPr="00C316F8" w:rsidRDefault="00D961A3" w:rsidP="00727B5B">
            <w:pPr>
              <w:jc w:val="both"/>
              <w:rPr>
                <w:rFonts w:cstheme="minorHAnsi"/>
                <w:bCs/>
                <w:sz w:val="24"/>
                <w:szCs w:val="24"/>
              </w:rPr>
            </w:pPr>
            <w:r w:rsidRPr="00C316F8">
              <w:rPr>
                <w:rFonts w:cstheme="minorHAnsi"/>
                <w:bCs/>
                <w:sz w:val="24"/>
                <w:szCs w:val="24"/>
              </w:rPr>
              <w:t>TOTAL</w:t>
            </w:r>
          </w:p>
        </w:tc>
        <w:tc>
          <w:tcPr>
            <w:tcW w:w="0" w:type="auto"/>
          </w:tcPr>
          <w:p w14:paraId="57C004D3" w14:textId="77777777" w:rsidR="00D961A3" w:rsidRPr="00C316F8" w:rsidRDefault="00D961A3" w:rsidP="00727B5B">
            <w:pPr>
              <w:jc w:val="both"/>
              <w:rPr>
                <w:rFonts w:cstheme="minorHAnsi"/>
                <w:sz w:val="24"/>
                <w:szCs w:val="24"/>
              </w:rPr>
            </w:pPr>
            <w:r w:rsidRPr="00C316F8">
              <w:rPr>
                <w:rFonts w:cstheme="minorHAnsi"/>
                <w:sz w:val="24"/>
                <w:szCs w:val="24"/>
              </w:rPr>
              <w:t>97.74%</w:t>
            </w:r>
          </w:p>
        </w:tc>
        <w:tc>
          <w:tcPr>
            <w:tcW w:w="0" w:type="auto"/>
          </w:tcPr>
          <w:p w14:paraId="7C85FF5F" w14:textId="77777777" w:rsidR="00D961A3" w:rsidRPr="00C316F8" w:rsidRDefault="00D961A3" w:rsidP="00727B5B">
            <w:pPr>
              <w:jc w:val="both"/>
              <w:rPr>
                <w:rFonts w:cstheme="minorHAnsi"/>
                <w:sz w:val="24"/>
                <w:szCs w:val="24"/>
              </w:rPr>
            </w:pPr>
            <w:r w:rsidRPr="00C316F8">
              <w:rPr>
                <w:rFonts w:cstheme="minorHAnsi"/>
                <w:sz w:val="24"/>
                <w:szCs w:val="24"/>
              </w:rPr>
              <w:t>2.26%</w:t>
            </w:r>
          </w:p>
        </w:tc>
        <w:tc>
          <w:tcPr>
            <w:tcW w:w="0" w:type="auto"/>
          </w:tcPr>
          <w:p w14:paraId="3BA2CEDB" w14:textId="77777777" w:rsidR="00D961A3" w:rsidRPr="00C316F8" w:rsidRDefault="00D961A3" w:rsidP="00727B5B">
            <w:pPr>
              <w:jc w:val="both"/>
              <w:rPr>
                <w:rFonts w:cstheme="minorHAnsi"/>
                <w:sz w:val="24"/>
                <w:szCs w:val="24"/>
              </w:rPr>
            </w:pPr>
          </w:p>
        </w:tc>
      </w:tr>
      <w:tr w:rsidR="00D961A3" w:rsidRPr="00C316F8" w14:paraId="2D71E87C" w14:textId="77777777" w:rsidTr="00727B5B">
        <w:trPr>
          <w:trHeight w:val="427"/>
        </w:trPr>
        <w:tc>
          <w:tcPr>
            <w:tcW w:w="0" w:type="auto"/>
            <w:gridSpan w:val="4"/>
          </w:tcPr>
          <w:p w14:paraId="788BFCE5" w14:textId="77777777" w:rsidR="00D961A3" w:rsidRPr="00C316F8" w:rsidRDefault="00D961A3" w:rsidP="00727B5B">
            <w:pPr>
              <w:jc w:val="both"/>
              <w:rPr>
                <w:rFonts w:cstheme="minorHAnsi"/>
                <w:bCs/>
                <w:sz w:val="24"/>
                <w:szCs w:val="24"/>
              </w:rPr>
            </w:pPr>
          </w:p>
        </w:tc>
      </w:tr>
      <w:tr w:rsidR="00D961A3" w:rsidRPr="00C316F8" w14:paraId="0FC47CE8" w14:textId="77777777" w:rsidTr="00727B5B">
        <w:tc>
          <w:tcPr>
            <w:tcW w:w="0" w:type="auto"/>
          </w:tcPr>
          <w:p w14:paraId="05F0AA4D" w14:textId="77777777" w:rsidR="00D961A3" w:rsidRPr="00C316F8" w:rsidRDefault="00D961A3" w:rsidP="00727B5B">
            <w:pPr>
              <w:jc w:val="both"/>
              <w:rPr>
                <w:rFonts w:cstheme="minorHAnsi"/>
                <w:b/>
                <w:sz w:val="24"/>
                <w:szCs w:val="24"/>
              </w:rPr>
            </w:pPr>
            <w:r w:rsidRPr="00C316F8">
              <w:rPr>
                <w:rFonts w:cstheme="minorHAnsi"/>
                <w:b/>
                <w:sz w:val="24"/>
                <w:szCs w:val="24"/>
              </w:rPr>
              <w:t>AGE</w:t>
            </w:r>
          </w:p>
        </w:tc>
        <w:tc>
          <w:tcPr>
            <w:tcW w:w="0" w:type="auto"/>
          </w:tcPr>
          <w:p w14:paraId="7CC209DC" w14:textId="77777777" w:rsidR="00D961A3" w:rsidRPr="00C316F8" w:rsidRDefault="00D961A3" w:rsidP="00727B5B">
            <w:pPr>
              <w:jc w:val="both"/>
              <w:rPr>
                <w:rFonts w:cstheme="minorHAnsi"/>
                <w:b/>
                <w:sz w:val="24"/>
                <w:szCs w:val="24"/>
              </w:rPr>
            </w:pPr>
            <w:r w:rsidRPr="00C316F8">
              <w:rPr>
                <w:rFonts w:cstheme="minorHAnsi"/>
                <w:b/>
                <w:sz w:val="24"/>
                <w:szCs w:val="24"/>
              </w:rPr>
              <w:t>ALIVE n=6,171,375</w:t>
            </w:r>
          </w:p>
        </w:tc>
        <w:tc>
          <w:tcPr>
            <w:tcW w:w="0" w:type="auto"/>
          </w:tcPr>
          <w:p w14:paraId="3B013E79" w14:textId="77777777" w:rsidR="00D961A3" w:rsidRPr="00C316F8" w:rsidRDefault="00D961A3" w:rsidP="00727B5B">
            <w:pPr>
              <w:jc w:val="both"/>
              <w:rPr>
                <w:rFonts w:cstheme="minorHAnsi"/>
                <w:b/>
                <w:sz w:val="24"/>
                <w:szCs w:val="24"/>
              </w:rPr>
            </w:pPr>
            <w:r w:rsidRPr="00C316F8">
              <w:rPr>
                <w:rFonts w:cstheme="minorHAnsi"/>
                <w:b/>
                <w:sz w:val="24"/>
                <w:szCs w:val="24"/>
              </w:rPr>
              <w:t>DEAD n=142,497</w:t>
            </w:r>
          </w:p>
        </w:tc>
        <w:tc>
          <w:tcPr>
            <w:tcW w:w="0" w:type="auto"/>
          </w:tcPr>
          <w:p w14:paraId="39C6840B" w14:textId="77777777" w:rsidR="00D961A3" w:rsidRPr="00C316F8" w:rsidRDefault="00D961A3" w:rsidP="00727B5B">
            <w:pPr>
              <w:jc w:val="both"/>
              <w:rPr>
                <w:rFonts w:cstheme="minorHAnsi"/>
                <w:b/>
                <w:sz w:val="24"/>
                <w:szCs w:val="24"/>
              </w:rPr>
            </w:pPr>
          </w:p>
        </w:tc>
      </w:tr>
      <w:tr w:rsidR="00D961A3" w:rsidRPr="00C316F8" w14:paraId="00C3729A" w14:textId="77777777" w:rsidTr="00727B5B">
        <w:tc>
          <w:tcPr>
            <w:tcW w:w="0" w:type="auto"/>
          </w:tcPr>
          <w:p w14:paraId="7FF87AC3" w14:textId="77777777" w:rsidR="00D961A3" w:rsidRPr="00C316F8" w:rsidRDefault="00D961A3" w:rsidP="00727B5B">
            <w:pPr>
              <w:jc w:val="both"/>
              <w:rPr>
                <w:rFonts w:cstheme="minorHAnsi"/>
                <w:bCs/>
                <w:sz w:val="24"/>
                <w:szCs w:val="24"/>
              </w:rPr>
            </w:pPr>
            <w:r w:rsidRPr="00C316F8">
              <w:rPr>
                <w:rFonts w:cstheme="minorHAnsi"/>
                <w:bCs/>
                <w:sz w:val="24"/>
                <w:szCs w:val="24"/>
              </w:rPr>
              <w:t>&lt;18</w:t>
            </w:r>
          </w:p>
        </w:tc>
        <w:tc>
          <w:tcPr>
            <w:tcW w:w="0" w:type="auto"/>
          </w:tcPr>
          <w:p w14:paraId="7A8A8AAA" w14:textId="77777777" w:rsidR="00D961A3" w:rsidRPr="00C316F8" w:rsidRDefault="00D961A3" w:rsidP="00727B5B">
            <w:pPr>
              <w:jc w:val="both"/>
              <w:rPr>
                <w:rFonts w:cstheme="minorHAnsi"/>
                <w:sz w:val="24"/>
                <w:szCs w:val="24"/>
              </w:rPr>
            </w:pPr>
            <w:r w:rsidRPr="00C316F8">
              <w:rPr>
                <w:rFonts w:cstheme="minorHAnsi"/>
                <w:sz w:val="24"/>
                <w:szCs w:val="24"/>
              </w:rPr>
              <w:t>99.93%</w:t>
            </w:r>
          </w:p>
        </w:tc>
        <w:tc>
          <w:tcPr>
            <w:tcW w:w="0" w:type="auto"/>
          </w:tcPr>
          <w:p w14:paraId="2FF69777" w14:textId="77777777" w:rsidR="00D961A3" w:rsidRPr="00C316F8" w:rsidRDefault="00D961A3" w:rsidP="00727B5B">
            <w:pPr>
              <w:jc w:val="both"/>
              <w:rPr>
                <w:rFonts w:cstheme="minorHAnsi"/>
                <w:sz w:val="24"/>
                <w:szCs w:val="24"/>
              </w:rPr>
            </w:pPr>
            <w:r w:rsidRPr="00C316F8">
              <w:rPr>
                <w:rFonts w:cstheme="minorHAnsi"/>
                <w:sz w:val="24"/>
                <w:szCs w:val="24"/>
              </w:rPr>
              <w:t>0.07%</w:t>
            </w:r>
          </w:p>
        </w:tc>
        <w:tc>
          <w:tcPr>
            <w:tcW w:w="0" w:type="auto"/>
            <w:vMerge w:val="restart"/>
          </w:tcPr>
          <w:p w14:paraId="221D85E0" w14:textId="77777777" w:rsidR="00D961A3" w:rsidRPr="00C316F8" w:rsidRDefault="00D961A3" w:rsidP="00727B5B">
            <w:pPr>
              <w:jc w:val="both"/>
              <w:rPr>
                <w:rFonts w:cstheme="minorHAnsi"/>
                <w:sz w:val="24"/>
                <w:szCs w:val="24"/>
              </w:rPr>
            </w:pPr>
          </w:p>
          <w:p w14:paraId="61A5AD74" w14:textId="77777777" w:rsidR="00D961A3" w:rsidRPr="00C316F8" w:rsidRDefault="00D961A3" w:rsidP="00727B5B">
            <w:pPr>
              <w:jc w:val="both"/>
              <w:rPr>
                <w:rFonts w:cstheme="minorHAnsi"/>
                <w:sz w:val="24"/>
                <w:szCs w:val="24"/>
              </w:rPr>
            </w:pPr>
          </w:p>
          <w:p w14:paraId="2BFC1522" w14:textId="77777777" w:rsidR="00D961A3" w:rsidRPr="00C316F8" w:rsidRDefault="00D961A3" w:rsidP="00727B5B">
            <w:pPr>
              <w:jc w:val="both"/>
              <w:rPr>
                <w:rFonts w:cstheme="minorHAnsi"/>
                <w:sz w:val="24"/>
                <w:szCs w:val="24"/>
              </w:rPr>
            </w:pPr>
            <w:r w:rsidRPr="00C316F8">
              <w:rPr>
                <w:rFonts w:cstheme="minorHAnsi"/>
                <w:sz w:val="24"/>
                <w:szCs w:val="24"/>
              </w:rPr>
              <w:t>P&lt;0.0005</w:t>
            </w:r>
          </w:p>
        </w:tc>
      </w:tr>
      <w:tr w:rsidR="00D961A3" w:rsidRPr="00C316F8" w14:paraId="1122CE57" w14:textId="77777777" w:rsidTr="00727B5B">
        <w:tc>
          <w:tcPr>
            <w:tcW w:w="0" w:type="auto"/>
          </w:tcPr>
          <w:p w14:paraId="651028BA" w14:textId="77777777" w:rsidR="00D961A3" w:rsidRPr="00C316F8" w:rsidRDefault="00D961A3" w:rsidP="00727B5B">
            <w:pPr>
              <w:jc w:val="both"/>
              <w:rPr>
                <w:rFonts w:cstheme="minorHAnsi"/>
                <w:bCs/>
                <w:sz w:val="24"/>
                <w:szCs w:val="24"/>
              </w:rPr>
            </w:pPr>
            <w:r w:rsidRPr="00C316F8">
              <w:rPr>
                <w:rFonts w:cstheme="minorHAnsi"/>
                <w:bCs/>
                <w:sz w:val="24"/>
                <w:szCs w:val="24"/>
              </w:rPr>
              <w:t>18-39</w:t>
            </w:r>
          </w:p>
        </w:tc>
        <w:tc>
          <w:tcPr>
            <w:tcW w:w="0" w:type="auto"/>
          </w:tcPr>
          <w:p w14:paraId="37F75CE9" w14:textId="77777777" w:rsidR="00D961A3" w:rsidRPr="00C316F8" w:rsidRDefault="00D961A3" w:rsidP="00727B5B">
            <w:pPr>
              <w:jc w:val="both"/>
              <w:rPr>
                <w:rFonts w:cstheme="minorHAnsi"/>
                <w:sz w:val="24"/>
                <w:szCs w:val="24"/>
              </w:rPr>
            </w:pPr>
            <w:r w:rsidRPr="00C316F8">
              <w:rPr>
                <w:rFonts w:cstheme="minorHAnsi"/>
                <w:sz w:val="24"/>
                <w:szCs w:val="24"/>
              </w:rPr>
              <w:t>99.78%</w:t>
            </w:r>
          </w:p>
        </w:tc>
        <w:tc>
          <w:tcPr>
            <w:tcW w:w="0" w:type="auto"/>
          </w:tcPr>
          <w:p w14:paraId="27B426D2" w14:textId="77777777" w:rsidR="00D961A3" w:rsidRPr="00C316F8" w:rsidRDefault="00D961A3" w:rsidP="00727B5B">
            <w:pPr>
              <w:jc w:val="both"/>
              <w:rPr>
                <w:rFonts w:cstheme="minorHAnsi"/>
                <w:sz w:val="24"/>
                <w:szCs w:val="24"/>
              </w:rPr>
            </w:pPr>
            <w:r w:rsidRPr="00C316F8">
              <w:rPr>
                <w:rFonts w:cstheme="minorHAnsi"/>
                <w:sz w:val="24"/>
                <w:szCs w:val="24"/>
              </w:rPr>
              <w:t>0.22%</w:t>
            </w:r>
          </w:p>
        </w:tc>
        <w:tc>
          <w:tcPr>
            <w:tcW w:w="0" w:type="auto"/>
            <w:vMerge/>
          </w:tcPr>
          <w:p w14:paraId="45420767" w14:textId="77777777" w:rsidR="00D961A3" w:rsidRPr="00C316F8" w:rsidRDefault="00D961A3" w:rsidP="00727B5B">
            <w:pPr>
              <w:jc w:val="both"/>
              <w:rPr>
                <w:rFonts w:cstheme="minorHAnsi"/>
                <w:sz w:val="24"/>
                <w:szCs w:val="24"/>
              </w:rPr>
            </w:pPr>
          </w:p>
        </w:tc>
      </w:tr>
      <w:tr w:rsidR="00D961A3" w:rsidRPr="00C316F8" w14:paraId="5A551C47" w14:textId="77777777" w:rsidTr="00727B5B">
        <w:tc>
          <w:tcPr>
            <w:tcW w:w="0" w:type="auto"/>
          </w:tcPr>
          <w:p w14:paraId="7F52A3DD" w14:textId="77777777" w:rsidR="00D961A3" w:rsidRPr="00C316F8" w:rsidRDefault="00D961A3" w:rsidP="00727B5B">
            <w:pPr>
              <w:jc w:val="both"/>
              <w:rPr>
                <w:rFonts w:cstheme="minorHAnsi"/>
                <w:bCs/>
                <w:sz w:val="24"/>
                <w:szCs w:val="24"/>
              </w:rPr>
            </w:pPr>
            <w:r w:rsidRPr="00C316F8">
              <w:rPr>
                <w:rFonts w:cstheme="minorHAnsi"/>
                <w:bCs/>
                <w:sz w:val="24"/>
                <w:szCs w:val="24"/>
              </w:rPr>
              <w:t>40-49</w:t>
            </w:r>
          </w:p>
        </w:tc>
        <w:tc>
          <w:tcPr>
            <w:tcW w:w="0" w:type="auto"/>
          </w:tcPr>
          <w:p w14:paraId="20654156" w14:textId="77777777" w:rsidR="00D961A3" w:rsidRPr="00C316F8" w:rsidRDefault="00D961A3" w:rsidP="00727B5B">
            <w:pPr>
              <w:jc w:val="both"/>
              <w:rPr>
                <w:rFonts w:cstheme="minorHAnsi"/>
                <w:sz w:val="24"/>
                <w:szCs w:val="24"/>
              </w:rPr>
            </w:pPr>
            <w:r w:rsidRPr="00C316F8">
              <w:rPr>
                <w:rFonts w:cstheme="minorHAnsi"/>
                <w:sz w:val="24"/>
                <w:szCs w:val="24"/>
              </w:rPr>
              <w:t>99.04%</w:t>
            </w:r>
          </w:p>
        </w:tc>
        <w:tc>
          <w:tcPr>
            <w:tcW w:w="0" w:type="auto"/>
          </w:tcPr>
          <w:p w14:paraId="67883105" w14:textId="77777777" w:rsidR="00D961A3" w:rsidRPr="00C316F8" w:rsidRDefault="00D961A3" w:rsidP="00727B5B">
            <w:pPr>
              <w:jc w:val="both"/>
              <w:rPr>
                <w:rFonts w:cstheme="minorHAnsi"/>
                <w:sz w:val="24"/>
                <w:szCs w:val="24"/>
              </w:rPr>
            </w:pPr>
            <w:r w:rsidRPr="00C316F8">
              <w:rPr>
                <w:rFonts w:cstheme="minorHAnsi"/>
                <w:sz w:val="24"/>
                <w:szCs w:val="24"/>
              </w:rPr>
              <w:t>0.96%</w:t>
            </w:r>
          </w:p>
        </w:tc>
        <w:tc>
          <w:tcPr>
            <w:tcW w:w="0" w:type="auto"/>
            <w:vMerge/>
          </w:tcPr>
          <w:p w14:paraId="6ECD702B" w14:textId="77777777" w:rsidR="00D961A3" w:rsidRPr="00C316F8" w:rsidRDefault="00D961A3" w:rsidP="00727B5B">
            <w:pPr>
              <w:jc w:val="both"/>
              <w:rPr>
                <w:rFonts w:cstheme="minorHAnsi"/>
                <w:sz w:val="24"/>
                <w:szCs w:val="24"/>
              </w:rPr>
            </w:pPr>
          </w:p>
        </w:tc>
      </w:tr>
      <w:tr w:rsidR="00D961A3" w:rsidRPr="00C316F8" w14:paraId="2C7EB9A3" w14:textId="77777777" w:rsidTr="00727B5B">
        <w:tc>
          <w:tcPr>
            <w:tcW w:w="0" w:type="auto"/>
          </w:tcPr>
          <w:p w14:paraId="0E2AB6F9" w14:textId="77777777" w:rsidR="00D961A3" w:rsidRPr="00C316F8" w:rsidRDefault="00D961A3" w:rsidP="00727B5B">
            <w:pPr>
              <w:jc w:val="both"/>
              <w:rPr>
                <w:rFonts w:cstheme="minorHAnsi"/>
                <w:bCs/>
                <w:sz w:val="24"/>
                <w:szCs w:val="24"/>
              </w:rPr>
            </w:pPr>
            <w:r w:rsidRPr="00C316F8">
              <w:rPr>
                <w:rFonts w:cstheme="minorHAnsi"/>
                <w:bCs/>
                <w:sz w:val="24"/>
                <w:szCs w:val="24"/>
              </w:rPr>
              <w:t>50-59</w:t>
            </w:r>
          </w:p>
        </w:tc>
        <w:tc>
          <w:tcPr>
            <w:tcW w:w="0" w:type="auto"/>
          </w:tcPr>
          <w:p w14:paraId="17BA2682" w14:textId="77777777" w:rsidR="00D961A3" w:rsidRPr="00C316F8" w:rsidRDefault="00D961A3" w:rsidP="00727B5B">
            <w:pPr>
              <w:jc w:val="both"/>
              <w:rPr>
                <w:rFonts w:cstheme="minorHAnsi"/>
                <w:sz w:val="24"/>
                <w:szCs w:val="24"/>
              </w:rPr>
            </w:pPr>
            <w:r w:rsidRPr="00C316F8">
              <w:rPr>
                <w:rFonts w:cstheme="minorHAnsi"/>
                <w:sz w:val="24"/>
                <w:szCs w:val="24"/>
              </w:rPr>
              <w:t>97.62%</w:t>
            </w:r>
          </w:p>
        </w:tc>
        <w:tc>
          <w:tcPr>
            <w:tcW w:w="0" w:type="auto"/>
          </w:tcPr>
          <w:p w14:paraId="5B63F79B" w14:textId="77777777" w:rsidR="00D961A3" w:rsidRPr="00C316F8" w:rsidRDefault="00D961A3" w:rsidP="00727B5B">
            <w:pPr>
              <w:jc w:val="both"/>
              <w:rPr>
                <w:rFonts w:cstheme="minorHAnsi"/>
                <w:sz w:val="24"/>
                <w:szCs w:val="24"/>
              </w:rPr>
            </w:pPr>
            <w:r w:rsidRPr="00C316F8">
              <w:rPr>
                <w:rFonts w:cstheme="minorHAnsi"/>
                <w:sz w:val="24"/>
                <w:szCs w:val="24"/>
              </w:rPr>
              <w:t>2.38%</w:t>
            </w:r>
          </w:p>
        </w:tc>
        <w:tc>
          <w:tcPr>
            <w:tcW w:w="0" w:type="auto"/>
            <w:vMerge/>
          </w:tcPr>
          <w:p w14:paraId="251EDFDC" w14:textId="77777777" w:rsidR="00D961A3" w:rsidRPr="00C316F8" w:rsidRDefault="00D961A3" w:rsidP="00727B5B">
            <w:pPr>
              <w:jc w:val="both"/>
              <w:rPr>
                <w:rFonts w:cstheme="minorHAnsi"/>
                <w:sz w:val="24"/>
                <w:szCs w:val="24"/>
              </w:rPr>
            </w:pPr>
          </w:p>
        </w:tc>
      </w:tr>
      <w:tr w:rsidR="00D961A3" w:rsidRPr="00C316F8" w14:paraId="71F58566" w14:textId="77777777" w:rsidTr="00727B5B">
        <w:tc>
          <w:tcPr>
            <w:tcW w:w="0" w:type="auto"/>
          </w:tcPr>
          <w:p w14:paraId="14A47D55" w14:textId="77777777" w:rsidR="00D961A3" w:rsidRPr="00C316F8" w:rsidRDefault="00D961A3" w:rsidP="00727B5B">
            <w:pPr>
              <w:jc w:val="both"/>
              <w:rPr>
                <w:rFonts w:cstheme="minorHAnsi"/>
                <w:bCs/>
                <w:sz w:val="24"/>
                <w:szCs w:val="24"/>
              </w:rPr>
            </w:pPr>
            <w:r w:rsidRPr="00C316F8">
              <w:rPr>
                <w:rFonts w:cstheme="minorHAnsi"/>
                <w:bCs/>
                <w:sz w:val="24"/>
                <w:szCs w:val="24"/>
              </w:rPr>
              <w:t>60-70</w:t>
            </w:r>
          </w:p>
        </w:tc>
        <w:tc>
          <w:tcPr>
            <w:tcW w:w="0" w:type="auto"/>
          </w:tcPr>
          <w:p w14:paraId="0568D490" w14:textId="77777777" w:rsidR="00D961A3" w:rsidRPr="00C316F8" w:rsidRDefault="00D961A3" w:rsidP="00727B5B">
            <w:pPr>
              <w:jc w:val="both"/>
              <w:rPr>
                <w:rFonts w:cstheme="minorHAnsi"/>
                <w:sz w:val="24"/>
                <w:szCs w:val="24"/>
              </w:rPr>
            </w:pPr>
            <w:r w:rsidRPr="00C316F8">
              <w:rPr>
                <w:rFonts w:cstheme="minorHAnsi"/>
                <w:sz w:val="24"/>
                <w:szCs w:val="24"/>
              </w:rPr>
              <w:t>94.12%</w:t>
            </w:r>
          </w:p>
        </w:tc>
        <w:tc>
          <w:tcPr>
            <w:tcW w:w="0" w:type="auto"/>
          </w:tcPr>
          <w:p w14:paraId="21AF5202" w14:textId="77777777" w:rsidR="00D961A3" w:rsidRPr="00C316F8" w:rsidRDefault="00D961A3" w:rsidP="00727B5B">
            <w:pPr>
              <w:jc w:val="both"/>
              <w:rPr>
                <w:rFonts w:cstheme="minorHAnsi"/>
                <w:sz w:val="24"/>
                <w:szCs w:val="24"/>
              </w:rPr>
            </w:pPr>
            <w:r w:rsidRPr="00C316F8">
              <w:rPr>
                <w:rFonts w:cstheme="minorHAnsi"/>
                <w:sz w:val="24"/>
                <w:szCs w:val="24"/>
              </w:rPr>
              <w:t>5.88%</w:t>
            </w:r>
          </w:p>
        </w:tc>
        <w:tc>
          <w:tcPr>
            <w:tcW w:w="0" w:type="auto"/>
            <w:vMerge/>
          </w:tcPr>
          <w:p w14:paraId="5DE9EB52" w14:textId="77777777" w:rsidR="00D961A3" w:rsidRPr="00C316F8" w:rsidRDefault="00D961A3" w:rsidP="00727B5B">
            <w:pPr>
              <w:jc w:val="both"/>
              <w:rPr>
                <w:rFonts w:cstheme="minorHAnsi"/>
                <w:sz w:val="24"/>
                <w:szCs w:val="24"/>
              </w:rPr>
            </w:pPr>
          </w:p>
        </w:tc>
      </w:tr>
      <w:tr w:rsidR="00D961A3" w:rsidRPr="00C316F8" w14:paraId="3C5C85B0" w14:textId="77777777" w:rsidTr="00727B5B">
        <w:tc>
          <w:tcPr>
            <w:tcW w:w="0" w:type="auto"/>
          </w:tcPr>
          <w:p w14:paraId="730B875F" w14:textId="77777777" w:rsidR="00D961A3" w:rsidRPr="00C316F8" w:rsidRDefault="00D961A3" w:rsidP="00727B5B">
            <w:pPr>
              <w:jc w:val="both"/>
              <w:rPr>
                <w:rFonts w:cstheme="minorHAnsi"/>
                <w:bCs/>
                <w:sz w:val="24"/>
                <w:szCs w:val="24"/>
              </w:rPr>
            </w:pPr>
            <w:r w:rsidRPr="00C316F8">
              <w:rPr>
                <w:rFonts w:cstheme="minorHAnsi"/>
                <w:bCs/>
                <w:sz w:val="24"/>
                <w:szCs w:val="24"/>
              </w:rPr>
              <w:t>70-79</w:t>
            </w:r>
          </w:p>
        </w:tc>
        <w:tc>
          <w:tcPr>
            <w:tcW w:w="0" w:type="auto"/>
          </w:tcPr>
          <w:p w14:paraId="1C554851" w14:textId="77777777" w:rsidR="00D961A3" w:rsidRPr="00C316F8" w:rsidRDefault="00D961A3" w:rsidP="00727B5B">
            <w:pPr>
              <w:jc w:val="both"/>
              <w:rPr>
                <w:rFonts w:cstheme="minorHAnsi"/>
                <w:sz w:val="24"/>
                <w:szCs w:val="24"/>
              </w:rPr>
            </w:pPr>
            <w:r w:rsidRPr="00C316F8">
              <w:rPr>
                <w:rFonts w:cstheme="minorHAnsi"/>
                <w:sz w:val="24"/>
                <w:szCs w:val="24"/>
              </w:rPr>
              <w:t>87.18%</w:t>
            </w:r>
          </w:p>
        </w:tc>
        <w:tc>
          <w:tcPr>
            <w:tcW w:w="0" w:type="auto"/>
          </w:tcPr>
          <w:p w14:paraId="0EC40832" w14:textId="77777777" w:rsidR="00D961A3" w:rsidRPr="00C316F8" w:rsidRDefault="00D961A3" w:rsidP="00727B5B">
            <w:pPr>
              <w:jc w:val="both"/>
              <w:rPr>
                <w:rFonts w:cstheme="minorHAnsi"/>
                <w:sz w:val="24"/>
                <w:szCs w:val="24"/>
              </w:rPr>
            </w:pPr>
            <w:r w:rsidRPr="00C316F8">
              <w:rPr>
                <w:rFonts w:cstheme="minorHAnsi"/>
                <w:sz w:val="24"/>
                <w:szCs w:val="24"/>
              </w:rPr>
              <w:t>12.82%</w:t>
            </w:r>
          </w:p>
        </w:tc>
        <w:tc>
          <w:tcPr>
            <w:tcW w:w="0" w:type="auto"/>
            <w:vMerge/>
          </w:tcPr>
          <w:p w14:paraId="117B258E" w14:textId="77777777" w:rsidR="00D961A3" w:rsidRPr="00C316F8" w:rsidRDefault="00D961A3" w:rsidP="00727B5B">
            <w:pPr>
              <w:jc w:val="both"/>
              <w:rPr>
                <w:rFonts w:cstheme="minorHAnsi"/>
                <w:sz w:val="24"/>
                <w:szCs w:val="24"/>
              </w:rPr>
            </w:pPr>
          </w:p>
        </w:tc>
      </w:tr>
      <w:tr w:rsidR="00D961A3" w:rsidRPr="00C316F8" w14:paraId="59C521E5" w14:textId="77777777" w:rsidTr="00727B5B">
        <w:tc>
          <w:tcPr>
            <w:tcW w:w="0" w:type="auto"/>
          </w:tcPr>
          <w:p w14:paraId="44818741" w14:textId="77777777" w:rsidR="00D961A3" w:rsidRPr="00C316F8" w:rsidRDefault="00D961A3" w:rsidP="00727B5B">
            <w:pPr>
              <w:jc w:val="both"/>
              <w:rPr>
                <w:rFonts w:cstheme="minorHAnsi"/>
                <w:bCs/>
                <w:sz w:val="24"/>
                <w:szCs w:val="24"/>
              </w:rPr>
            </w:pPr>
            <w:r w:rsidRPr="00C316F8">
              <w:rPr>
                <w:rFonts w:cstheme="minorHAnsi"/>
                <w:bCs/>
                <w:sz w:val="24"/>
                <w:szCs w:val="24"/>
              </w:rPr>
              <w:t>&gt;=80</w:t>
            </w:r>
          </w:p>
        </w:tc>
        <w:tc>
          <w:tcPr>
            <w:tcW w:w="0" w:type="auto"/>
          </w:tcPr>
          <w:p w14:paraId="382EAC0B" w14:textId="77777777" w:rsidR="00D961A3" w:rsidRPr="00C316F8" w:rsidRDefault="00D961A3" w:rsidP="00727B5B">
            <w:pPr>
              <w:jc w:val="both"/>
              <w:rPr>
                <w:rFonts w:cstheme="minorHAnsi"/>
                <w:sz w:val="24"/>
                <w:szCs w:val="24"/>
              </w:rPr>
            </w:pPr>
            <w:r w:rsidRPr="00C316F8">
              <w:rPr>
                <w:rFonts w:cstheme="minorHAnsi"/>
                <w:sz w:val="24"/>
                <w:szCs w:val="24"/>
              </w:rPr>
              <w:t>75.57%</w:t>
            </w:r>
          </w:p>
        </w:tc>
        <w:tc>
          <w:tcPr>
            <w:tcW w:w="0" w:type="auto"/>
          </w:tcPr>
          <w:p w14:paraId="718AFD42" w14:textId="77777777" w:rsidR="00D961A3" w:rsidRPr="00C316F8" w:rsidRDefault="00D961A3" w:rsidP="00727B5B">
            <w:pPr>
              <w:jc w:val="both"/>
              <w:rPr>
                <w:rFonts w:cstheme="minorHAnsi"/>
                <w:sz w:val="24"/>
                <w:szCs w:val="24"/>
              </w:rPr>
            </w:pPr>
            <w:r w:rsidRPr="00C316F8">
              <w:rPr>
                <w:rFonts w:cstheme="minorHAnsi"/>
                <w:sz w:val="24"/>
                <w:szCs w:val="24"/>
              </w:rPr>
              <w:t>24.43%</w:t>
            </w:r>
          </w:p>
        </w:tc>
        <w:tc>
          <w:tcPr>
            <w:tcW w:w="0" w:type="auto"/>
            <w:vMerge/>
          </w:tcPr>
          <w:p w14:paraId="7C22AFF4" w14:textId="77777777" w:rsidR="00D961A3" w:rsidRPr="00C316F8" w:rsidRDefault="00D961A3" w:rsidP="00727B5B">
            <w:pPr>
              <w:jc w:val="both"/>
              <w:rPr>
                <w:rFonts w:cstheme="minorHAnsi"/>
                <w:sz w:val="24"/>
                <w:szCs w:val="24"/>
              </w:rPr>
            </w:pPr>
          </w:p>
        </w:tc>
      </w:tr>
      <w:tr w:rsidR="00D961A3" w:rsidRPr="00C316F8" w14:paraId="2018482F" w14:textId="77777777" w:rsidTr="00727B5B">
        <w:trPr>
          <w:trHeight w:val="427"/>
        </w:trPr>
        <w:tc>
          <w:tcPr>
            <w:tcW w:w="0" w:type="auto"/>
            <w:gridSpan w:val="4"/>
          </w:tcPr>
          <w:p w14:paraId="7AB22A93" w14:textId="77777777" w:rsidR="00D961A3" w:rsidRPr="00C316F8" w:rsidRDefault="00D961A3" w:rsidP="00727B5B">
            <w:pPr>
              <w:jc w:val="both"/>
              <w:rPr>
                <w:rFonts w:cstheme="minorHAnsi"/>
                <w:sz w:val="24"/>
                <w:szCs w:val="24"/>
              </w:rPr>
            </w:pPr>
          </w:p>
        </w:tc>
      </w:tr>
      <w:tr w:rsidR="00D961A3" w:rsidRPr="00C316F8" w14:paraId="08FB36BC" w14:textId="77777777" w:rsidTr="00727B5B">
        <w:trPr>
          <w:trHeight w:val="422"/>
        </w:trPr>
        <w:tc>
          <w:tcPr>
            <w:tcW w:w="0" w:type="auto"/>
          </w:tcPr>
          <w:p w14:paraId="5E95F370" w14:textId="77777777" w:rsidR="00D961A3" w:rsidRPr="00C316F8" w:rsidRDefault="00D961A3" w:rsidP="00727B5B">
            <w:pPr>
              <w:jc w:val="both"/>
              <w:rPr>
                <w:rFonts w:cstheme="minorHAnsi"/>
                <w:b/>
                <w:sz w:val="24"/>
                <w:szCs w:val="24"/>
              </w:rPr>
            </w:pPr>
            <w:r w:rsidRPr="00C316F8">
              <w:rPr>
                <w:rFonts w:cstheme="minorHAnsi"/>
                <w:b/>
                <w:sz w:val="24"/>
                <w:szCs w:val="24"/>
              </w:rPr>
              <w:t>WHITES AND MESTIZOS</w:t>
            </w:r>
          </w:p>
        </w:tc>
        <w:tc>
          <w:tcPr>
            <w:tcW w:w="0" w:type="auto"/>
          </w:tcPr>
          <w:p w14:paraId="39A8EAA7" w14:textId="77777777" w:rsidR="00D961A3" w:rsidRPr="00C316F8" w:rsidRDefault="00D961A3" w:rsidP="00727B5B">
            <w:pPr>
              <w:jc w:val="both"/>
              <w:rPr>
                <w:rFonts w:cstheme="minorHAnsi"/>
                <w:b/>
                <w:sz w:val="24"/>
                <w:szCs w:val="24"/>
              </w:rPr>
            </w:pPr>
            <w:r w:rsidRPr="00C316F8">
              <w:rPr>
                <w:rFonts w:cstheme="minorHAnsi"/>
                <w:b/>
                <w:sz w:val="24"/>
                <w:szCs w:val="24"/>
              </w:rPr>
              <w:t>ALIVE</w:t>
            </w:r>
          </w:p>
          <w:p w14:paraId="203ECFC7" w14:textId="77777777" w:rsidR="00D961A3" w:rsidRPr="00C316F8" w:rsidRDefault="00D961A3" w:rsidP="00727B5B">
            <w:pPr>
              <w:jc w:val="both"/>
              <w:rPr>
                <w:rFonts w:cstheme="minorHAnsi"/>
                <w:b/>
                <w:sz w:val="24"/>
                <w:szCs w:val="24"/>
              </w:rPr>
            </w:pPr>
            <w:r w:rsidRPr="00C316F8">
              <w:rPr>
                <w:rFonts w:cstheme="minorHAnsi"/>
                <w:b/>
                <w:sz w:val="24"/>
                <w:szCs w:val="24"/>
              </w:rPr>
              <w:t>n=5,955,808</w:t>
            </w:r>
          </w:p>
        </w:tc>
        <w:tc>
          <w:tcPr>
            <w:tcW w:w="0" w:type="auto"/>
          </w:tcPr>
          <w:p w14:paraId="24B5C73B" w14:textId="77777777" w:rsidR="00D961A3" w:rsidRPr="00C316F8" w:rsidRDefault="00D961A3" w:rsidP="00727B5B">
            <w:pPr>
              <w:jc w:val="both"/>
              <w:rPr>
                <w:rFonts w:cstheme="minorHAnsi"/>
                <w:b/>
                <w:sz w:val="24"/>
                <w:szCs w:val="24"/>
              </w:rPr>
            </w:pPr>
            <w:r w:rsidRPr="00C316F8">
              <w:rPr>
                <w:rFonts w:cstheme="minorHAnsi"/>
                <w:b/>
                <w:sz w:val="24"/>
                <w:szCs w:val="24"/>
              </w:rPr>
              <w:t>DEAD n=136,649</w:t>
            </w:r>
          </w:p>
        </w:tc>
        <w:tc>
          <w:tcPr>
            <w:tcW w:w="0" w:type="auto"/>
            <w:vMerge w:val="restart"/>
          </w:tcPr>
          <w:p w14:paraId="6CA8F647" w14:textId="77777777" w:rsidR="00D961A3" w:rsidRPr="00C316F8" w:rsidRDefault="00D961A3" w:rsidP="00727B5B">
            <w:pPr>
              <w:jc w:val="both"/>
              <w:rPr>
                <w:rFonts w:cstheme="minorHAnsi"/>
                <w:b/>
                <w:sz w:val="24"/>
                <w:szCs w:val="24"/>
              </w:rPr>
            </w:pPr>
          </w:p>
          <w:p w14:paraId="28FCE573" w14:textId="77777777" w:rsidR="00D961A3" w:rsidRPr="00C316F8" w:rsidRDefault="00D961A3" w:rsidP="00727B5B">
            <w:pPr>
              <w:jc w:val="both"/>
              <w:rPr>
                <w:rFonts w:cstheme="minorHAnsi"/>
                <w:b/>
                <w:sz w:val="24"/>
                <w:szCs w:val="24"/>
              </w:rPr>
            </w:pPr>
            <w:r w:rsidRPr="00C316F8">
              <w:rPr>
                <w:rFonts w:cstheme="minorHAnsi"/>
                <w:b/>
                <w:sz w:val="24"/>
                <w:szCs w:val="24"/>
              </w:rPr>
              <w:t>P&lt;0.0005</w:t>
            </w:r>
          </w:p>
        </w:tc>
      </w:tr>
      <w:tr w:rsidR="00D961A3" w:rsidRPr="00C316F8" w14:paraId="5E8CF51C" w14:textId="77777777" w:rsidTr="00727B5B">
        <w:tc>
          <w:tcPr>
            <w:tcW w:w="0" w:type="auto"/>
          </w:tcPr>
          <w:p w14:paraId="286F887D" w14:textId="77777777" w:rsidR="00D961A3" w:rsidRPr="00C316F8" w:rsidRDefault="00D961A3" w:rsidP="00727B5B">
            <w:pPr>
              <w:jc w:val="both"/>
              <w:rPr>
                <w:rFonts w:cstheme="minorHAnsi"/>
                <w:sz w:val="24"/>
                <w:szCs w:val="24"/>
              </w:rPr>
            </w:pPr>
          </w:p>
        </w:tc>
        <w:tc>
          <w:tcPr>
            <w:tcW w:w="0" w:type="auto"/>
          </w:tcPr>
          <w:p w14:paraId="59D3F41B" w14:textId="77777777" w:rsidR="00D961A3" w:rsidRPr="00C316F8" w:rsidRDefault="00D961A3" w:rsidP="00727B5B">
            <w:pPr>
              <w:jc w:val="both"/>
              <w:rPr>
                <w:rFonts w:cstheme="minorHAnsi"/>
                <w:sz w:val="24"/>
                <w:szCs w:val="24"/>
              </w:rPr>
            </w:pPr>
            <w:r w:rsidRPr="00C316F8">
              <w:rPr>
                <w:rFonts w:cstheme="minorHAnsi"/>
                <w:sz w:val="24"/>
                <w:szCs w:val="24"/>
              </w:rPr>
              <w:t>97.76%</w:t>
            </w:r>
          </w:p>
        </w:tc>
        <w:tc>
          <w:tcPr>
            <w:tcW w:w="0" w:type="auto"/>
          </w:tcPr>
          <w:p w14:paraId="3348A1B3" w14:textId="77777777" w:rsidR="00D961A3" w:rsidRPr="00C316F8" w:rsidRDefault="00D961A3" w:rsidP="00727B5B">
            <w:pPr>
              <w:jc w:val="both"/>
              <w:rPr>
                <w:rFonts w:cstheme="minorHAnsi"/>
                <w:sz w:val="24"/>
                <w:szCs w:val="24"/>
              </w:rPr>
            </w:pPr>
            <w:r w:rsidRPr="00C316F8">
              <w:rPr>
                <w:rFonts w:cstheme="minorHAnsi"/>
                <w:sz w:val="24"/>
                <w:szCs w:val="24"/>
              </w:rPr>
              <w:t>2.24%</w:t>
            </w:r>
          </w:p>
        </w:tc>
        <w:tc>
          <w:tcPr>
            <w:tcW w:w="0" w:type="auto"/>
            <w:vMerge/>
          </w:tcPr>
          <w:p w14:paraId="04702D78" w14:textId="77777777" w:rsidR="00D961A3" w:rsidRPr="00C316F8" w:rsidRDefault="00D961A3" w:rsidP="00727B5B">
            <w:pPr>
              <w:jc w:val="both"/>
              <w:rPr>
                <w:rFonts w:cstheme="minorHAnsi"/>
                <w:sz w:val="24"/>
                <w:szCs w:val="24"/>
              </w:rPr>
            </w:pPr>
          </w:p>
        </w:tc>
      </w:tr>
      <w:tr w:rsidR="00D961A3" w:rsidRPr="00C316F8" w14:paraId="155C86AC" w14:textId="77777777" w:rsidTr="00727B5B">
        <w:trPr>
          <w:trHeight w:val="427"/>
        </w:trPr>
        <w:tc>
          <w:tcPr>
            <w:tcW w:w="0" w:type="auto"/>
            <w:gridSpan w:val="4"/>
          </w:tcPr>
          <w:p w14:paraId="60A42CEE" w14:textId="77777777" w:rsidR="00D961A3" w:rsidRPr="00C316F8" w:rsidRDefault="00D961A3" w:rsidP="00727B5B">
            <w:pPr>
              <w:jc w:val="both"/>
              <w:rPr>
                <w:rFonts w:cstheme="minorHAnsi"/>
                <w:sz w:val="24"/>
                <w:szCs w:val="24"/>
              </w:rPr>
            </w:pPr>
          </w:p>
        </w:tc>
      </w:tr>
      <w:tr w:rsidR="00D961A3" w:rsidRPr="00C316F8" w14:paraId="0DD2E130" w14:textId="77777777" w:rsidTr="00727B5B">
        <w:tc>
          <w:tcPr>
            <w:tcW w:w="0" w:type="auto"/>
          </w:tcPr>
          <w:p w14:paraId="19A730A8" w14:textId="77777777" w:rsidR="00D961A3" w:rsidRPr="00C316F8" w:rsidRDefault="00D961A3" w:rsidP="00727B5B">
            <w:pPr>
              <w:jc w:val="both"/>
              <w:rPr>
                <w:rFonts w:cstheme="minorHAnsi"/>
                <w:b/>
                <w:sz w:val="24"/>
                <w:szCs w:val="24"/>
              </w:rPr>
            </w:pPr>
            <w:r w:rsidRPr="00C316F8">
              <w:rPr>
                <w:rFonts w:cstheme="minorHAnsi"/>
                <w:b/>
                <w:sz w:val="24"/>
                <w:szCs w:val="24"/>
              </w:rPr>
              <w:t>AFROCOLOMBIANS</w:t>
            </w:r>
          </w:p>
        </w:tc>
        <w:tc>
          <w:tcPr>
            <w:tcW w:w="0" w:type="auto"/>
          </w:tcPr>
          <w:p w14:paraId="3E024B0A" w14:textId="77777777" w:rsidR="00D961A3" w:rsidRPr="00C316F8" w:rsidRDefault="00D961A3" w:rsidP="00727B5B">
            <w:pPr>
              <w:jc w:val="both"/>
              <w:rPr>
                <w:rFonts w:cstheme="minorHAnsi"/>
                <w:b/>
                <w:sz w:val="24"/>
                <w:szCs w:val="24"/>
              </w:rPr>
            </w:pPr>
            <w:r w:rsidRPr="00C316F8">
              <w:rPr>
                <w:rFonts w:cstheme="minorHAnsi"/>
                <w:b/>
                <w:sz w:val="24"/>
                <w:szCs w:val="24"/>
              </w:rPr>
              <w:t>ALIVE</w:t>
            </w:r>
          </w:p>
          <w:p w14:paraId="79058656" w14:textId="77777777" w:rsidR="00D961A3" w:rsidRPr="00C316F8" w:rsidRDefault="00D961A3" w:rsidP="00727B5B">
            <w:pPr>
              <w:jc w:val="both"/>
              <w:rPr>
                <w:rFonts w:cstheme="minorHAnsi"/>
                <w:b/>
                <w:sz w:val="24"/>
                <w:szCs w:val="24"/>
              </w:rPr>
            </w:pPr>
            <w:r w:rsidRPr="00C316F8">
              <w:rPr>
                <w:rFonts w:cstheme="minorHAnsi"/>
                <w:b/>
                <w:sz w:val="24"/>
                <w:szCs w:val="24"/>
              </w:rPr>
              <w:t>n=134,079</w:t>
            </w:r>
          </w:p>
        </w:tc>
        <w:tc>
          <w:tcPr>
            <w:tcW w:w="0" w:type="auto"/>
          </w:tcPr>
          <w:p w14:paraId="63FF8AED" w14:textId="77777777" w:rsidR="00D961A3" w:rsidRPr="00C316F8" w:rsidRDefault="00D961A3" w:rsidP="00727B5B">
            <w:pPr>
              <w:jc w:val="both"/>
              <w:rPr>
                <w:rFonts w:cstheme="minorHAnsi"/>
                <w:b/>
                <w:sz w:val="24"/>
                <w:szCs w:val="24"/>
              </w:rPr>
            </w:pPr>
            <w:r w:rsidRPr="00C316F8">
              <w:rPr>
                <w:rFonts w:cstheme="minorHAnsi"/>
                <w:b/>
                <w:sz w:val="24"/>
                <w:szCs w:val="24"/>
              </w:rPr>
              <w:t>DEAD n=3,546</w:t>
            </w:r>
          </w:p>
        </w:tc>
        <w:tc>
          <w:tcPr>
            <w:tcW w:w="0" w:type="auto"/>
            <w:vMerge w:val="restart"/>
          </w:tcPr>
          <w:p w14:paraId="5D817F56" w14:textId="77777777" w:rsidR="00D961A3" w:rsidRPr="00C316F8" w:rsidRDefault="00D961A3" w:rsidP="00727B5B">
            <w:pPr>
              <w:jc w:val="both"/>
              <w:rPr>
                <w:rFonts w:cstheme="minorHAnsi"/>
                <w:b/>
                <w:sz w:val="24"/>
                <w:szCs w:val="24"/>
              </w:rPr>
            </w:pPr>
          </w:p>
          <w:p w14:paraId="4BFEECE5" w14:textId="77777777" w:rsidR="00D961A3" w:rsidRPr="00C316F8" w:rsidRDefault="00D961A3" w:rsidP="00727B5B">
            <w:pPr>
              <w:jc w:val="both"/>
              <w:rPr>
                <w:rFonts w:cstheme="minorHAnsi"/>
                <w:b/>
                <w:sz w:val="24"/>
                <w:szCs w:val="24"/>
              </w:rPr>
            </w:pPr>
            <w:r w:rsidRPr="00C316F8">
              <w:rPr>
                <w:rFonts w:cstheme="minorHAnsi"/>
                <w:b/>
                <w:sz w:val="24"/>
                <w:szCs w:val="24"/>
              </w:rPr>
              <w:t>P&lt;0.0005</w:t>
            </w:r>
          </w:p>
        </w:tc>
      </w:tr>
      <w:tr w:rsidR="00D961A3" w:rsidRPr="00C316F8" w14:paraId="79D3BE99" w14:textId="77777777" w:rsidTr="00727B5B">
        <w:tc>
          <w:tcPr>
            <w:tcW w:w="0" w:type="auto"/>
          </w:tcPr>
          <w:p w14:paraId="6E15B9AA" w14:textId="77777777" w:rsidR="00D961A3" w:rsidRPr="00C316F8" w:rsidRDefault="00D961A3" w:rsidP="00727B5B">
            <w:pPr>
              <w:jc w:val="both"/>
              <w:rPr>
                <w:rFonts w:cstheme="minorHAnsi"/>
                <w:bCs/>
                <w:sz w:val="24"/>
                <w:szCs w:val="24"/>
              </w:rPr>
            </w:pPr>
          </w:p>
        </w:tc>
        <w:tc>
          <w:tcPr>
            <w:tcW w:w="0" w:type="auto"/>
          </w:tcPr>
          <w:p w14:paraId="528096AF" w14:textId="77777777" w:rsidR="00D961A3" w:rsidRPr="00C316F8" w:rsidRDefault="00D961A3" w:rsidP="00727B5B">
            <w:pPr>
              <w:jc w:val="both"/>
              <w:rPr>
                <w:rFonts w:cstheme="minorHAnsi"/>
                <w:sz w:val="24"/>
                <w:szCs w:val="24"/>
              </w:rPr>
            </w:pPr>
            <w:r w:rsidRPr="00C316F8">
              <w:rPr>
                <w:rFonts w:cstheme="minorHAnsi"/>
                <w:sz w:val="24"/>
                <w:szCs w:val="24"/>
              </w:rPr>
              <w:t>97.42%</w:t>
            </w:r>
          </w:p>
        </w:tc>
        <w:tc>
          <w:tcPr>
            <w:tcW w:w="0" w:type="auto"/>
          </w:tcPr>
          <w:p w14:paraId="2A218F04" w14:textId="77777777" w:rsidR="00D961A3" w:rsidRPr="00C316F8" w:rsidRDefault="00D961A3" w:rsidP="00727B5B">
            <w:pPr>
              <w:jc w:val="both"/>
              <w:rPr>
                <w:rFonts w:cstheme="minorHAnsi"/>
                <w:sz w:val="24"/>
                <w:szCs w:val="24"/>
              </w:rPr>
            </w:pPr>
            <w:r w:rsidRPr="00C316F8">
              <w:rPr>
                <w:rFonts w:cstheme="minorHAnsi"/>
                <w:sz w:val="24"/>
                <w:szCs w:val="24"/>
              </w:rPr>
              <w:t>2.58%</w:t>
            </w:r>
          </w:p>
        </w:tc>
        <w:tc>
          <w:tcPr>
            <w:tcW w:w="0" w:type="auto"/>
            <w:vMerge/>
          </w:tcPr>
          <w:p w14:paraId="64786551" w14:textId="77777777" w:rsidR="00D961A3" w:rsidRPr="00C316F8" w:rsidRDefault="00D961A3" w:rsidP="00727B5B">
            <w:pPr>
              <w:jc w:val="both"/>
              <w:rPr>
                <w:rFonts w:cstheme="minorHAnsi"/>
                <w:sz w:val="24"/>
                <w:szCs w:val="24"/>
              </w:rPr>
            </w:pPr>
          </w:p>
        </w:tc>
      </w:tr>
      <w:tr w:rsidR="00D961A3" w:rsidRPr="00C316F8" w14:paraId="0562C06F" w14:textId="77777777" w:rsidTr="00727B5B">
        <w:trPr>
          <w:trHeight w:val="427"/>
        </w:trPr>
        <w:tc>
          <w:tcPr>
            <w:tcW w:w="0" w:type="auto"/>
            <w:gridSpan w:val="4"/>
          </w:tcPr>
          <w:p w14:paraId="4B43DC2E" w14:textId="77777777" w:rsidR="00D961A3" w:rsidRPr="00C316F8" w:rsidRDefault="00D961A3" w:rsidP="00727B5B">
            <w:pPr>
              <w:jc w:val="both"/>
              <w:rPr>
                <w:rFonts w:cstheme="minorHAnsi"/>
                <w:sz w:val="24"/>
                <w:szCs w:val="24"/>
              </w:rPr>
            </w:pPr>
          </w:p>
        </w:tc>
      </w:tr>
      <w:tr w:rsidR="00D961A3" w:rsidRPr="00C316F8" w14:paraId="25515569" w14:textId="77777777" w:rsidTr="00727B5B">
        <w:trPr>
          <w:trHeight w:val="422"/>
        </w:trPr>
        <w:tc>
          <w:tcPr>
            <w:tcW w:w="0" w:type="auto"/>
          </w:tcPr>
          <w:p w14:paraId="387D0F22" w14:textId="77777777" w:rsidR="00D961A3" w:rsidRPr="00C316F8" w:rsidRDefault="00D961A3" w:rsidP="00727B5B">
            <w:pPr>
              <w:jc w:val="both"/>
              <w:rPr>
                <w:rFonts w:cstheme="minorHAnsi"/>
                <w:b/>
                <w:sz w:val="24"/>
                <w:szCs w:val="24"/>
              </w:rPr>
            </w:pPr>
            <w:r w:rsidRPr="00C316F8">
              <w:rPr>
                <w:rFonts w:cstheme="minorHAnsi"/>
                <w:b/>
                <w:sz w:val="24"/>
                <w:szCs w:val="24"/>
              </w:rPr>
              <w:t>INDIGENOUS</w:t>
            </w:r>
          </w:p>
        </w:tc>
        <w:tc>
          <w:tcPr>
            <w:tcW w:w="0" w:type="auto"/>
          </w:tcPr>
          <w:p w14:paraId="30BA56A8" w14:textId="77777777" w:rsidR="00D961A3" w:rsidRPr="00C316F8" w:rsidRDefault="00D961A3" w:rsidP="00727B5B">
            <w:pPr>
              <w:jc w:val="both"/>
              <w:rPr>
                <w:rFonts w:cstheme="minorHAnsi"/>
                <w:b/>
                <w:sz w:val="24"/>
                <w:szCs w:val="24"/>
              </w:rPr>
            </w:pPr>
            <w:r w:rsidRPr="00C316F8">
              <w:rPr>
                <w:rFonts w:cstheme="minorHAnsi"/>
                <w:b/>
                <w:sz w:val="24"/>
                <w:szCs w:val="24"/>
              </w:rPr>
              <w:t>ALIVE</w:t>
            </w:r>
          </w:p>
          <w:p w14:paraId="779B338F" w14:textId="77777777" w:rsidR="00D961A3" w:rsidRPr="00C316F8" w:rsidRDefault="00D961A3" w:rsidP="00727B5B">
            <w:pPr>
              <w:jc w:val="both"/>
              <w:rPr>
                <w:rFonts w:cstheme="minorHAnsi"/>
                <w:b/>
                <w:sz w:val="24"/>
                <w:szCs w:val="24"/>
              </w:rPr>
            </w:pPr>
            <w:r w:rsidRPr="00C316F8">
              <w:rPr>
                <w:rFonts w:cstheme="minorHAnsi"/>
                <w:b/>
                <w:sz w:val="24"/>
                <w:szCs w:val="24"/>
              </w:rPr>
              <w:t>n=80,960</w:t>
            </w:r>
          </w:p>
        </w:tc>
        <w:tc>
          <w:tcPr>
            <w:tcW w:w="0" w:type="auto"/>
          </w:tcPr>
          <w:p w14:paraId="1815EE90" w14:textId="77777777" w:rsidR="00D961A3" w:rsidRPr="00C316F8" w:rsidRDefault="00D961A3" w:rsidP="00727B5B">
            <w:pPr>
              <w:jc w:val="both"/>
              <w:rPr>
                <w:rFonts w:cstheme="minorHAnsi"/>
                <w:b/>
                <w:sz w:val="24"/>
                <w:szCs w:val="24"/>
              </w:rPr>
            </w:pPr>
            <w:r w:rsidRPr="00C316F8">
              <w:rPr>
                <w:rFonts w:cstheme="minorHAnsi"/>
                <w:b/>
                <w:sz w:val="24"/>
                <w:szCs w:val="24"/>
              </w:rPr>
              <w:t>DEAD n=2,289</w:t>
            </w:r>
          </w:p>
        </w:tc>
        <w:tc>
          <w:tcPr>
            <w:tcW w:w="0" w:type="auto"/>
            <w:vMerge w:val="restart"/>
          </w:tcPr>
          <w:p w14:paraId="1C6DB64C" w14:textId="77777777" w:rsidR="00D961A3" w:rsidRPr="00C316F8" w:rsidRDefault="00D961A3" w:rsidP="00727B5B">
            <w:pPr>
              <w:jc w:val="both"/>
              <w:rPr>
                <w:rFonts w:cstheme="minorHAnsi"/>
                <w:b/>
                <w:sz w:val="24"/>
                <w:szCs w:val="24"/>
              </w:rPr>
            </w:pPr>
          </w:p>
          <w:p w14:paraId="37F74CFD" w14:textId="77777777" w:rsidR="00D961A3" w:rsidRPr="00C316F8" w:rsidRDefault="00D961A3" w:rsidP="00727B5B">
            <w:pPr>
              <w:jc w:val="both"/>
              <w:rPr>
                <w:rFonts w:cstheme="minorHAnsi"/>
                <w:b/>
                <w:sz w:val="24"/>
                <w:szCs w:val="24"/>
              </w:rPr>
            </w:pPr>
            <w:r w:rsidRPr="00C316F8">
              <w:rPr>
                <w:rFonts w:cstheme="minorHAnsi"/>
                <w:b/>
                <w:sz w:val="24"/>
                <w:szCs w:val="24"/>
              </w:rPr>
              <w:t>P&lt;0.0005</w:t>
            </w:r>
          </w:p>
        </w:tc>
      </w:tr>
      <w:tr w:rsidR="00D961A3" w:rsidRPr="00C316F8" w14:paraId="79684867" w14:textId="77777777" w:rsidTr="00727B5B">
        <w:tc>
          <w:tcPr>
            <w:tcW w:w="0" w:type="auto"/>
          </w:tcPr>
          <w:p w14:paraId="3C466C45" w14:textId="77777777" w:rsidR="00D961A3" w:rsidRPr="00C316F8" w:rsidRDefault="00D961A3" w:rsidP="00727B5B">
            <w:pPr>
              <w:jc w:val="both"/>
              <w:rPr>
                <w:rFonts w:cstheme="minorHAnsi"/>
                <w:sz w:val="24"/>
                <w:szCs w:val="24"/>
              </w:rPr>
            </w:pPr>
          </w:p>
        </w:tc>
        <w:tc>
          <w:tcPr>
            <w:tcW w:w="0" w:type="auto"/>
          </w:tcPr>
          <w:p w14:paraId="74B465B6" w14:textId="77777777" w:rsidR="00D961A3" w:rsidRPr="00C316F8" w:rsidRDefault="00D961A3" w:rsidP="00727B5B">
            <w:pPr>
              <w:jc w:val="both"/>
              <w:rPr>
                <w:rFonts w:cstheme="minorHAnsi"/>
                <w:sz w:val="24"/>
                <w:szCs w:val="24"/>
              </w:rPr>
            </w:pPr>
            <w:r w:rsidRPr="00C316F8">
              <w:rPr>
                <w:rFonts w:cstheme="minorHAnsi"/>
                <w:sz w:val="24"/>
                <w:szCs w:val="24"/>
              </w:rPr>
              <w:t>97.25%</w:t>
            </w:r>
          </w:p>
        </w:tc>
        <w:tc>
          <w:tcPr>
            <w:tcW w:w="0" w:type="auto"/>
          </w:tcPr>
          <w:p w14:paraId="47AEDE5E" w14:textId="77777777" w:rsidR="00D961A3" w:rsidRPr="00C316F8" w:rsidRDefault="00D961A3" w:rsidP="00727B5B">
            <w:pPr>
              <w:jc w:val="both"/>
              <w:rPr>
                <w:rFonts w:cstheme="minorHAnsi"/>
                <w:sz w:val="24"/>
                <w:szCs w:val="24"/>
              </w:rPr>
            </w:pPr>
            <w:r w:rsidRPr="00C316F8">
              <w:rPr>
                <w:rFonts w:cstheme="minorHAnsi"/>
                <w:sz w:val="24"/>
                <w:szCs w:val="24"/>
              </w:rPr>
              <w:t>2.75%</w:t>
            </w:r>
          </w:p>
        </w:tc>
        <w:tc>
          <w:tcPr>
            <w:tcW w:w="0" w:type="auto"/>
            <w:vMerge/>
          </w:tcPr>
          <w:p w14:paraId="1A95A1AE" w14:textId="77777777" w:rsidR="00D961A3" w:rsidRPr="00C316F8" w:rsidRDefault="00D961A3" w:rsidP="00727B5B">
            <w:pPr>
              <w:jc w:val="both"/>
              <w:rPr>
                <w:rFonts w:cstheme="minorHAnsi"/>
                <w:sz w:val="24"/>
                <w:szCs w:val="24"/>
              </w:rPr>
            </w:pPr>
          </w:p>
        </w:tc>
      </w:tr>
      <w:tr w:rsidR="00D961A3" w:rsidRPr="00C316F8" w14:paraId="03F2AAB0" w14:textId="77777777" w:rsidTr="00727B5B">
        <w:trPr>
          <w:trHeight w:val="427"/>
        </w:trPr>
        <w:tc>
          <w:tcPr>
            <w:tcW w:w="0" w:type="auto"/>
            <w:gridSpan w:val="3"/>
          </w:tcPr>
          <w:p w14:paraId="30AEA077" w14:textId="77777777" w:rsidR="00D961A3" w:rsidRPr="00C316F8" w:rsidRDefault="00D961A3" w:rsidP="00727B5B">
            <w:pPr>
              <w:jc w:val="both"/>
              <w:rPr>
                <w:rFonts w:cstheme="minorHAnsi"/>
                <w:bCs/>
                <w:sz w:val="24"/>
                <w:szCs w:val="24"/>
              </w:rPr>
            </w:pPr>
          </w:p>
        </w:tc>
        <w:tc>
          <w:tcPr>
            <w:tcW w:w="0" w:type="auto"/>
          </w:tcPr>
          <w:p w14:paraId="364EB140" w14:textId="77777777" w:rsidR="00D961A3" w:rsidRPr="00C316F8" w:rsidRDefault="00D961A3" w:rsidP="00727B5B">
            <w:pPr>
              <w:jc w:val="both"/>
              <w:rPr>
                <w:rFonts w:cstheme="minorHAnsi"/>
                <w:bCs/>
                <w:sz w:val="24"/>
                <w:szCs w:val="24"/>
              </w:rPr>
            </w:pPr>
          </w:p>
        </w:tc>
      </w:tr>
      <w:tr w:rsidR="00D961A3" w:rsidRPr="00C316F8" w14:paraId="5F26EB35" w14:textId="77777777" w:rsidTr="00727B5B">
        <w:tc>
          <w:tcPr>
            <w:tcW w:w="0" w:type="auto"/>
          </w:tcPr>
          <w:p w14:paraId="0F8ACB87" w14:textId="77777777" w:rsidR="00D961A3" w:rsidRPr="00C316F8" w:rsidRDefault="00D961A3" w:rsidP="00727B5B">
            <w:pPr>
              <w:jc w:val="both"/>
              <w:rPr>
                <w:rFonts w:cstheme="minorHAnsi"/>
                <w:b/>
                <w:sz w:val="24"/>
                <w:szCs w:val="24"/>
              </w:rPr>
            </w:pPr>
            <w:r w:rsidRPr="00C316F8">
              <w:rPr>
                <w:rFonts w:cstheme="minorHAnsi"/>
                <w:b/>
                <w:sz w:val="24"/>
                <w:szCs w:val="24"/>
              </w:rPr>
              <w:t>PDET</w:t>
            </w:r>
          </w:p>
        </w:tc>
        <w:tc>
          <w:tcPr>
            <w:tcW w:w="0" w:type="auto"/>
          </w:tcPr>
          <w:p w14:paraId="5AAEA640" w14:textId="77777777" w:rsidR="00D961A3" w:rsidRPr="00C316F8" w:rsidRDefault="00D961A3" w:rsidP="00727B5B">
            <w:pPr>
              <w:jc w:val="both"/>
              <w:rPr>
                <w:rFonts w:cstheme="minorHAnsi"/>
                <w:b/>
                <w:sz w:val="24"/>
                <w:szCs w:val="24"/>
              </w:rPr>
            </w:pPr>
            <w:r w:rsidRPr="00C316F8">
              <w:rPr>
                <w:rFonts w:cstheme="minorHAnsi"/>
                <w:b/>
                <w:sz w:val="24"/>
                <w:szCs w:val="24"/>
              </w:rPr>
              <w:t>ALIVE</w:t>
            </w:r>
          </w:p>
          <w:p w14:paraId="792CC588" w14:textId="77777777" w:rsidR="00D961A3" w:rsidRPr="00C316F8" w:rsidRDefault="00D961A3" w:rsidP="00727B5B">
            <w:pPr>
              <w:jc w:val="both"/>
              <w:rPr>
                <w:rFonts w:cstheme="minorHAnsi"/>
                <w:b/>
                <w:sz w:val="24"/>
                <w:szCs w:val="24"/>
              </w:rPr>
            </w:pPr>
            <w:r w:rsidRPr="00C316F8">
              <w:rPr>
                <w:rFonts w:cstheme="minorHAnsi"/>
                <w:b/>
                <w:sz w:val="24"/>
                <w:szCs w:val="24"/>
              </w:rPr>
              <w:t>n=373,967</w:t>
            </w:r>
          </w:p>
        </w:tc>
        <w:tc>
          <w:tcPr>
            <w:tcW w:w="0" w:type="auto"/>
          </w:tcPr>
          <w:p w14:paraId="45A2DBE8" w14:textId="77777777" w:rsidR="00D961A3" w:rsidRPr="00C316F8" w:rsidRDefault="00D961A3" w:rsidP="00727B5B">
            <w:pPr>
              <w:jc w:val="both"/>
              <w:rPr>
                <w:rFonts w:cstheme="minorHAnsi"/>
                <w:b/>
                <w:sz w:val="24"/>
                <w:szCs w:val="24"/>
              </w:rPr>
            </w:pPr>
            <w:r w:rsidRPr="00C316F8">
              <w:rPr>
                <w:rFonts w:cstheme="minorHAnsi"/>
                <w:b/>
                <w:sz w:val="24"/>
                <w:szCs w:val="24"/>
              </w:rPr>
              <w:t>DEAD n=12,343</w:t>
            </w:r>
          </w:p>
        </w:tc>
        <w:tc>
          <w:tcPr>
            <w:tcW w:w="0" w:type="auto"/>
            <w:vMerge w:val="restart"/>
          </w:tcPr>
          <w:p w14:paraId="13DB2388" w14:textId="77777777" w:rsidR="00D961A3" w:rsidRPr="00C316F8" w:rsidRDefault="00D961A3" w:rsidP="00727B5B">
            <w:pPr>
              <w:jc w:val="both"/>
              <w:rPr>
                <w:rFonts w:cstheme="minorHAnsi"/>
                <w:b/>
                <w:sz w:val="24"/>
                <w:szCs w:val="24"/>
              </w:rPr>
            </w:pPr>
          </w:p>
          <w:p w14:paraId="58EEE07C" w14:textId="77777777" w:rsidR="00D961A3" w:rsidRPr="00C316F8" w:rsidRDefault="00D961A3" w:rsidP="00727B5B">
            <w:pPr>
              <w:jc w:val="both"/>
              <w:rPr>
                <w:rFonts w:cstheme="minorHAnsi"/>
                <w:b/>
                <w:sz w:val="24"/>
                <w:szCs w:val="24"/>
              </w:rPr>
            </w:pPr>
            <w:r w:rsidRPr="00C316F8">
              <w:rPr>
                <w:rFonts w:cstheme="minorHAnsi"/>
                <w:b/>
                <w:sz w:val="24"/>
                <w:szCs w:val="24"/>
              </w:rPr>
              <w:t>P&lt;0.0005</w:t>
            </w:r>
          </w:p>
        </w:tc>
      </w:tr>
      <w:tr w:rsidR="00D961A3" w:rsidRPr="00C316F8" w14:paraId="0AC765B0" w14:textId="77777777" w:rsidTr="00727B5B">
        <w:tc>
          <w:tcPr>
            <w:tcW w:w="0" w:type="auto"/>
          </w:tcPr>
          <w:p w14:paraId="731A3B40" w14:textId="77777777" w:rsidR="00D961A3" w:rsidRPr="00C316F8" w:rsidRDefault="00D961A3" w:rsidP="00727B5B">
            <w:pPr>
              <w:jc w:val="both"/>
              <w:rPr>
                <w:rFonts w:cstheme="minorHAnsi"/>
                <w:sz w:val="24"/>
                <w:szCs w:val="24"/>
              </w:rPr>
            </w:pPr>
          </w:p>
        </w:tc>
        <w:tc>
          <w:tcPr>
            <w:tcW w:w="0" w:type="auto"/>
          </w:tcPr>
          <w:p w14:paraId="505FEEC6" w14:textId="77777777" w:rsidR="00D961A3" w:rsidRPr="00C316F8" w:rsidRDefault="00D961A3" w:rsidP="00727B5B">
            <w:pPr>
              <w:jc w:val="both"/>
              <w:rPr>
                <w:rFonts w:cstheme="minorHAnsi"/>
                <w:sz w:val="24"/>
                <w:szCs w:val="24"/>
              </w:rPr>
            </w:pPr>
            <w:r w:rsidRPr="00C316F8">
              <w:rPr>
                <w:rFonts w:cstheme="minorHAnsi"/>
                <w:sz w:val="24"/>
                <w:szCs w:val="24"/>
              </w:rPr>
              <w:t>96.80%</w:t>
            </w:r>
          </w:p>
        </w:tc>
        <w:tc>
          <w:tcPr>
            <w:tcW w:w="0" w:type="auto"/>
          </w:tcPr>
          <w:p w14:paraId="0B580AC2" w14:textId="77777777" w:rsidR="00D961A3" w:rsidRPr="00C316F8" w:rsidRDefault="00D961A3" w:rsidP="00727B5B">
            <w:pPr>
              <w:jc w:val="both"/>
              <w:rPr>
                <w:rFonts w:cstheme="minorHAnsi"/>
                <w:sz w:val="24"/>
                <w:szCs w:val="24"/>
              </w:rPr>
            </w:pPr>
            <w:r w:rsidRPr="00C316F8">
              <w:rPr>
                <w:rFonts w:cstheme="minorHAnsi"/>
                <w:sz w:val="24"/>
                <w:szCs w:val="24"/>
              </w:rPr>
              <w:t>3.20%</w:t>
            </w:r>
          </w:p>
        </w:tc>
        <w:tc>
          <w:tcPr>
            <w:tcW w:w="0" w:type="auto"/>
            <w:vMerge/>
          </w:tcPr>
          <w:p w14:paraId="4BA16C5F" w14:textId="77777777" w:rsidR="00D961A3" w:rsidRPr="00C316F8" w:rsidRDefault="00D961A3" w:rsidP="00727B5B">
            <w:pPr>
              <w:jc w:val="both"/>
              <w:rPr>
                <w:rFonts w:cstheme="minorHAnsi"/>
                <w:sz w:val="24"/>
                <w:szCs w:val="24"/>
              </w:rPr>
            </w:pPr>
          </w:p>
        </w:tc>
      </w:tr>
      <w:tr w:rsidR="00D961A3" w:rsidRPr="00C316F8" w14:paraId="4A3D5F54" w14:textId="77777777" w:rsidTr="00727B5B">
        <w:trPr>
          <w:trHeight w:val="427"/>
        </w:trPr>
        <w:tc>
          <w:tcPr>
            <w:tcW w:w="0" w:type="auto"/>
            <w:gridSpan w:val="4"/>
          </w:tcPr>
          <w:p w14:paraId="1E94B701" w14:textId="77777777" w:rsidR="00D961A3" w:rsidRPr="00C316F8" w:rsidRDefault="00D961A3" w:rsidP="00727B5B">
            <w:pPr>
              <w:jc w:val="both"/>
              <w:rPr>
                <w:rFonts w:cstheme="minorHAnsi"/>
                <w:sz w:val="24"/>
                <w:szCs w:val="24"/>
              </w:rPr>
            </w:pPr>
          </w:p>
        </w:tc>
      </w:tr>
      <w:tr w:rsidR="00D961A3" w:rsidRPr="00C316F8" w14:paraId="48AB8593" w14:textId="77777777" w:rsidTr="00727B5B">
        <w:tc>
          <w:tcPr>
            <w:tcW w:w="0" w:type="auto"/>
          </w:tcPr>
          <w:p w14:paraId="2F7EFBAC" w14:textId="77777777" w:rsidR="00D961A3" w:rsidRPr="00C316F8" w:rsidRDefault="00D961A3" w:rsidP="00727B5B">
            <w:pPr>
              <w:jc w:val="both"/>
              <w:rPr>
                <w:rFonts w:cstheme="minorHAnsi"/>
                <w:b/>
                <w:sz w:val="24"/>
                <w:szCs w:val="24"/>
              </w:rPr>
            </w:pPr>
            <w:r w:rsidRPr="00C316F8">
              <w:rPr>
                <w:rFonts w:cstheme="minorHAnsi"/>
                <w:b/>
                <w:sz w:val="24"/>
                <w:szCs w:val="24"/>
              </w:rPr>
              <w:t>ZOMAC</w:t>
            </w:r>
          </w:p>
        </w:tc>
        <w:tc>
          <w:tcPr>
            <w:tcW w:w="0" w:type="auto"/>
          </w:tcPr>
          <w:p w14:paraId="3589CD60" w14:textId="77777777" w:rsidR="00D961A3" w:rsidRPr="00C316F8" w:rsidRDefault="00D961A3" w:rsidP="00727B5B">
            <w:pPr>
              <w:jc w:val="both"/>
              <w:rPr>
                <w:rFonts w:cstheme="minorHAnsi"/>
                <w:b/>
                <w:sz w:val="24"/>
                <w:szCs w:val="24"/>
              </w:rPr>
            </w:pPr>
            <w:r w:rsidRPr="00C316F8">
              <w:rPr>
                <w:rFonts w:cstheme="minorHAnsi"/>
                <w:b/>
                <w:sz w:val="24"/>
                <w:szCs w:val="24"/>
              </w:rPr>
              <w:t>ALIVE</w:t>
            </w:r>
          </w:p>
          <w:p w14:paraId="0298B831" w14:textId="77777777" w:rsidR="00D961A3" w:rsidRPr="00C316F8" w:rsidRDefault="00D961A3" w:rsidP="00727B5B">
            <w:pPr>
              <w:jc w:val="both"/>
              <w:rPr>
                <w:rFonts w:cstheme="minorHAnsi"/>
                <w:b/>
                <w:sz w:val="24"/>
                <w:szCs w:val="24"/>
              </w:rPr>
            </w:pPr>
            <w:r w:rsidRPr="00C316F8">
              <w:rPr>
                <w:rFonts w:cstheme="minorHAnsi"/>
                <w:b/>
                <w:sz w:val="24"/>
                <w:szCs w:val="24"/>
              </w:rPr>
              <w:lastRenderedPageBreak/>
              <w:t>n= 385,752</w:t>
            </w:r>
          </w:p>
        </w:tc>
        <w:tc>
          <w:tcPr>
            <w:tcW w:w="0" w:type="auto"/>
          </w:tcPr>
          <w:p w14:paraId="37DEDAE3" w14:textId="77777777" w:rsidR="00D961A3" w:rsidRPr="00C316F8" w:rsidRDefault="00D961A3" w:rsidP="00727B5B">
            <w:pPr>
              <w:jc w:val="both"/>
              <w:rPr>
                <w:rFonts w:cstheme="minorHAnsi"/>
                <w:b/>
                <w:sz w:val="24"/>
                <w:szCs w:val="24"/>
              </w:rPr>
            </w:pPr>
            <w:r w:rsidRPr="00C316F8">
              <w:rPr>
                <w:rFonts w:cstheme="minorHAnsi"/>
                <w:b/>
                <w:sz w:val="24"/>
                <w:szCs w:val="24"/>
              </w:rPr>
              <w:lastRenderedPageBreak/>
              <w:t>DEAD n=14,456</w:t>
            </w:r>
          </w:p>
        </w:tc>
        <w:tc>
          <w:tcPr>
            <w:tcW w:w="0" w:type="auto"/>
            <w:vMerge w:val="restart"/>
          </w:tcPr>
          <w:p w14:paraId="7B7FFAF3" w14:textId="77777777" w:rsidR="00D961A3" w:rsidRPr="00C316F8" w:rsidRDefault="00D961A3" w:rsidP="00727B5B">
            <w:pPr>
              <w:jc w:val="both"/>
              <w:rPr>
                <w:rFonts w:cstheme="minorHAnsi"/>
                <w:b/>
                <w:sz w:val="24"/>
                <w:szCs w:val="24"/>
              </w:rPr>
            </w:pPr>
          </w:p>
          <w:p w14:paraId="77CB2DDE" w14:textId="77777777" w:rsidR="00D961A3" w:rsidRPr="00C316F8" w:rsidRDefault="00D961A3" w:rsidP="00727B5B">
            <w:pPr>
              <w:jc w:val="both"/>
              <w:rPr>
                <w:rFonts w:cstheme="minorHAnsi"/>
                <w:b/>
                <w:sz w:val="24"/>
                <w:szCs w:val="24"/>
              </w:rPr>
            </w:pPr>
            <w:r w:rsidRPr="00C316F8">
              <w:rPr>
                <w:rFonts w:cstheme="minorHAnsi"/>
                <w:b/>
                <w:sz w:val="24"/>
                <w:szCs w:val="24"/>
              </w:rPr>
              <w:lastRenderedPageBreak/>
              <w:t>P&lt;0.0005</w:t>
            </w:r>
          </w:p>
        </w:tc>
      </w:tr>
      <w:tr w:rsidR="00D961A3" w:rsidRPr="00C316F8" w14:paraId="12162D4B" w14:textId="77777777" w:rsidTr="00727B5B">
        <w:tc>
          <w:tcPr>
            <w:tcW w:w="0" w:type="auto"/>
          </w:tcPr>
          <w:p w14:paraId="77302FD7" w14:textId="77777777" w:rsidR="00D961A3" w:rsidRPr="00C316F8" w:rsidRDefault="00D961A3" w:rsidP="00727B5B">
            <w:pPr>
              <w:jc w:val="both"/>
              <w:rPr>
                <w:rFonts w:cstheme="minorHAnsi"/>
                <w:bCs/>
                <w:sz w:val="24"/>
                <w:szCs w:val="24"/>
              </w:rPr>
            </w:pPr>
          </w:p>
        </w:tc>
        <w:tc>
          <w:tcPr>
            <w:tcW w:w="0" w:type="auto"/>
          </w:tcPr>
          <w:p w14:paraId="0EA84A56" w14:textId="77777777" w:rsidR="00D961A3" w:rsidRPr="00C316F8" w:rsidRDefault="00D961A3" w:rsidP="00727B5B">
            <w:pPr>
              <w:jc w:val="both"/>
              <w:rPr>
                <w:rFonts w:cstheme="minorHAnsi"/>
                <w:sz w:val="24"/>
                <w:szCs w:val="24"/>
              </w:rPr>
            </w:pPr>
            <w:r w:rsidRPr="00C316F8">
              <w:rPr>
                <w:rFonts w:cstheme="minorHAnsi"/>
                <w:sz w:val="24"/>
                <w:szCs w:val="24"/>
              </w:rPr>
              <w:t>96.39%</w:t>
            </w:r>
          </w:p>
        </w:tc>
        <w:tc>
          <w:tcPr>
            <w:tcW w:w="0" w:type="auto"/>
          </w:tcPr>
          <w:p w14:paraId="69388933" w14:textId="77777777" w:rsidR="00D961A3" w:rsidRPr="00C316F8" w:rsidRDefault="00D961A3" w:rsidP="00727B5B">
            <w:pPr>
              <w:jc w:val="both"/>
              <w:rPr>
                <w:rFonts w:cstheme="minorHAnsi"/>
                <w:sz w:val="24"/>
                <w:szCs w:val="24"/>
              </w:rPr>
            </w:pPr>
            <w:r w:rsidRPr="00C316F8">
              <w:rPr>
                <w:rFonts w:cstheme="minorHAnsi"/>
                <w:sz w:val="24"/>
                <w:szCs w:val="24"/>
              </w:rPr>
              <w:t>3.61%</w:t>
            </w:r>
          </w:p>
        </w:tc>
        <w:tc>
          <w:tcPr>
            <w:tcW w:w="0" w:type="auto"/>
            <w:vMerge/>
          </w:tcPr>
          <w:p w14:paraId="38F46011" w14:textId="77777777" w:rsidR="00D961A3" w:rsidRPr="00C316F8" w:rsidRDefault="00D961A3" w:rsidP="00727B5B">
            <w:pPr>
              <w:jc w:val="both"/>
              <w:rPr>
                <w:rFonts w:cstheme="minorHAnsi"/>
                <w:sz w:val="24"/>
                <w:szCs w:val="24"/>
              </w:rPr>
            </w:pPr>
          </w:p>
        </w:tc>
      </w:tr>
    </w:tbl>
    <w:p w14:paraId="7C0E6F94" w14:textId="77777777" w:rsidR="00CA13BA" w:rsidRPr="00C316F8" w:rsidRDefault="00CA13BA" w:rsidP="00CA13BA">
      <w:pPr>
        <w:jc w:val="both"/>
        <w:rPr>
          <w:rFonts w:eastAsia="Calibri" w:cstheme="minorHAnsi"/>
          <w:sz w:val="24"/>
          <w:szCs w:val="24"/>
          <w:lang w:val="es-CO"/>
        </w:rPr>
      </w:pPr>
      <w:r w:rsidRPr="00C316F8">
        <w:rPr>
          <w:rFonts w:eastAsia="Calibri" w:cstheme="minorHAnsi"/>
          <w:sz w:val="24"/>
          <w:szCs w:val="24"/>
          <w:lang w:val="es-CO"/>
        </w:rPr>
        <w:t>Fuente, elaboración propia.</w:t>
      </w:r>
    </w:p>
    <w:p w14:paraId="77D443CD" w14:textId="77777777" w:rsidR="00D961A3" w:rsidRPr="00C316F8" w:rsidRDefault="00D961A3" w:rsidP="00D961A3">
      <w:pPr>
        <w:jc w:val="both"/>
        <w:rPr>
          <w:rFonts w:cstheme="minorHAnsi"/>
          <w:sz w:val="24"/>
          <w:szCs w:val="24"/>
          <w:lang w:val="es-CO" w:eastAsia="es-CO"/>
        </w:rPr>
      </w:pPr>
    </w:p>
    <w:p w14:paraId="2539FA19" w14:textId="1425427A"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Los distintos grupos étnicos mostraron una diferencia significativa en el índice CMPI entre quienes sobrevivieron y quienes fallecieron (p &lt; 0,0005), al igual que las áreas PDET (p &lt; 0,005); sin embargo, no se encontró una diferencia significativa en las áreas ZOMAC (p = 0,26). Los valores se presentan en la Tabla </w:t>
      </w:r>
      <w:r w:rsidR="003B4F37" w:rsidRPr="00C316F8">
        <w:rPr>
          <w:rFonts w:cstheme="minorHAnsi"/>
          <w:sz w:val="24"/>
          <w:szCs w:val="24"/>
          <w:lang w:val="es-CO"/>
        </w:rPr>
        <w:t>11</w:t>
      </w:r>
      <w:r w:rsidRPr="00C316F8">
        <w:rPr>
          <w:rFonts w:cstheme="minorHAnsi"/>
          <w:sz w:val="24"/>
          <w:szCs w:val="24"/>
          <w:lang w:val="es-CO"/>
        </w:rPr>
        <w:t>.</w:t>
      </w:r>
    </w:p>
    <w:p w14:paraId="3C3C56D7" w14:textId="77777777" w:rsidR="00D961A3" w:rsidRPr="00C316F8" w:rsidRDefault="00D961A3" w:rsidP="00D961A3">
      <w:pPr>
        <w:pStyle w:val="Descripcin"/>
        <w:rPr>
          <w:rFonts w:asciiTheme="minorHAnsi" w:hAnsiTheme="minorHAnsi" w:cstheme="minorHAnsi"/>
          <w:b/>
          <w:bCs/>
          <w:i w:val="0"/>
          <w:iCs w:val="0"/>
          <w:color w:val="auto"/>
          <w:sz w:val="24"/>
          <w:szCs w:val="24"/>
        </w:rPr>
      </w:pPr>
    </w:p>
    <w:p w14:paraId="71DC5410" w14:textId="1DEF0008" w:rsidR="00D961A3" w:rsidRPr="00C316F8" w:rsidRDefault="00D961A3" w:rsidP="00D961A3">
      <w:pPr>
        <w:pStyle w:val="Descripcin"/>
        <w:rPr>
          <w:rFonts w:asciiTheme="minorHAnsi" w:hAnsiTheme="minorHAnsi" w:cstheme="minorHAnsi"/>
          <w:b/>
          <w:bCs/>
          <w:i w:val="0"/>
          <w:iCs w:val="0"/>
          <w:color w:val="auto"/>
          <w:sz w:val="24"/>
          <w:szCs w:val="24"/>
        </w:rPr>
      </w:pPr>
      <w:bookmarkStart w:id="74" w:name="_Toc229834699"/>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11</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Índice de Pobreza Multidimensional (CMPI) según grupo étnico, municipio y mortalidad. Colombia, 2020-2022.</w:t>
      </w:r>
      <w:bookmarkEnd w:id="74"/>
    </w:p>
    <w:p w14:paraId="2C91E179" w14:textId="77777777" w:rsidR="00D961A3" w:rsidRPr="00C316F8" w:rsidRDefault="00D961A3" w:rsidP="00D961A3">
      <w:pPr>
        <w:jc w:val="both"/>
        <w:rPr>
          <w:rFonts w:cstheme="minorHAnsi"/>
          <w:bCs/>
          <w:sz w:val="24"/>
          <w:szCs w:val="24"/>
        </w:rPr>
      </w:pPr>
    </w:p>
    <w:tbl>
      <w:tblPr>
        <w:tblStyle w:val="Tablaconcuadrcula"/>
        <w:tblW w:w="0" w:type="auto"/>
        <w:tblLook w:val="04A0" w:firstRow="1" w:lastRow="0" w:firstColumn="1" w:lastColumn="0" w:noHBand="0" w:noVBand="1"/>
      </w:tblPr>
      <w:tblGrid>
        <w:gridCol w:w="2102"/>
        <w:gridCol w:w="1538"/>
        <w:gridCol w:w="1005"/>
        <w:gridCol w:w="1736"/>
        <w:gridCol w:w="1442"/>
        <w:gridCol w:w="1005"/>
      </w:tblGrid>
      <w:tr w:rsidR="00D961A3" w:rsidRPr="00C316F8" w14:paraId="3D3C3A87" w14:textId="77777777" w:rsidTr="00727B5B">
        <w:tc>
          <w:tcPr>
            <w:tcW w:w="0" w:type="auto"/>
          </w:tcPr>
          <w:p w14:paraId="7383BBF1" w14:textId="77777777" w:rsidR="00D961A3" w:rsidRPr="00C316F8" w:rsidRDefault="00D961A3" w:rsidP="00727B5B">
            <w:pPr>
              <w:jc w:val="both"/>
              <w:rPr>
                <w:rFonts w:cstheme="minorHAnsi"/>
                <w:b/>
                <w:sz w:val="24"/>
                <w:szCs w:val="24"/>
              </w:rPr>
            </w:pPr>
          </w:p>
        </w:tc>
        <w:tc>
          <w:tcPr>
            <w:tcW w:w="0" w:type="auto"/>
          </w:tcPr>
          <w:p w14:paraId="1FCDF65A" w14:textId="77777777" w:rsidR="00D961A3" w:rsidRPr="00C316F8" w:rsidRDefault="00D961A3" w:rsidP="00727B5B">
            <w:pPr>
              <w:jc w:val="both"/>
              <w:rPr>
                <w:rFonts w:cstheme="minorHAnsi"/>
                <w:b/>
                <w:sz w:val="24"/>
                <w:szCs w:val="24"/>
              </w:rPr>
            </w:pPr>
            <w:r w:rsidRPr="00C316F8">
              <w:rPr>
                <w:rFonts w:cstheme="minorHAnsi"/>
                <w:b/>
                <w:sz w:val="24"/>
                <w:szCs w:val="24"/>
              </w:rPr>
              <w:t>MEDIAN AND IQR CIPM</w:t>
            </w:r>
          </w:p>
        </w:tc>
        <w:tc>
          <w:tcPr>
            <w:tcW w:w="0" w:type="auto"/>
          </w:tcPr>
          <w:p w14:paraId="3B70A074" w14:textId="77777777" w:rsidR="00D961A3" w:rsidRPr="00C316F8" w:rsidRDefault="00D961A3" w:rsidP="00727B5B">
            <w:pPr>
              <w:jc w:val="both"/>
              <w:rPr>
                <w:rFonts w:cstheme="minorHAnsi"/>
                <w:b/>
                <w:sz w:val="24"/>
                <w:szCs w:val="24"/>
              </w:rPr>
            </w:pPr>
            <w:r w:rsidRPr="00C316F8">
              <w:rPr>
                <w:rFonts w:cstheme="minorHAnsi"/>
                <w:b/>
                <w:sz w:val="24"/>
                <w:szCs w:val="24"/>
              </w:rPr>
              <w:t>P</w:t>
            </w:r>
          </w:p>
        </w:tc>
        <w:tc>
          <w:tcPr>
            <w:tcW w:w="0" w:type="auto"/>
          </w:tcPr>
          <w:p w14:paraId="6AC86019" w14:textId="77777777" w:rsidR="00D961A3" w:rsidRPr="00C316F8" w:rsidRDefault="00D961A3" w:rsidP="00727B5B">
            <w:pPr>
              <w:jc w:val="both"/>
              <w:rPr>
                <w:rFonts w:cstheme="minorHAnsi"/>
                <w:b/>
                <w:sz w:val="24"/>
                <w:szCs w:val="24"/>
              </w:rPr>
            </w:pPr>
            <w:r w:rsidRPr="00C316F8">
              <w:rPr>
                <w:rFonts w:cstheme="minorHAnsi"/>
                <w:b/>
                <w:sz w:val="24"/>
                <w:szCs w:val="24"/>
              </w:rPr>
              <w:t>MEDIAN AND IQR CMPI ALIVE</w:t>
            </w:r>
          </w:p>
        </w:tc>
        <w:tc>
          <w:tcPr>
            <w:tcW w:w="0" w:type="auto"/>
          </w:tcPr>
          <w:p w14:paraId="241B96BF" w14:textId="77777777" w:rsidR="00D961A3" w:rsidRPr="00C316F8" w:rsidRDefault="00D961A3" w:rsidP="00727B5B">
            <w:pPr>
              <w:jc w:val="both"/>
              <w:rPr>
                <w:rFonts w:cstheme="minorHAnsi"/>
                <w:b/>
                <w:sz w:val="24"/>
                <w:szCs w:val="24"/>
              </w:rPr>
            </w:pPr>
            <w:r w:rsidRPr="00C316F8">
              <w:rPr>
                <w:rFonts w:cstheme="minorHAnsi"/>
                <w:b/>
                <w:sz w:val="24"/>
                <w:szCs w:val="24"/>
              </w:rPr>
              <w:t>MEDIAN CMPI DEAD</w:t>
            </w:r>
          </w:p>
        </w:tc>
        <w:tc>
          <w:tcPr>
            <w:tcW w:w="0" w:type="auto"/>
          </w:tcPr>
          <w:p w14:paraId="5172D402" w14:textId="77777777" w:rsidR="00D961A3" w:rsidRPr="00C316F8" w:rsidRDefault="00D961A3" w:rsidP="00727B5B">
            <w:pPr>
              <w:jc w:val="both"/>
              <w:rPr>
                <w:rFonts w:cstheme="minorHAnsi"/>
                <w:b/>
                <w:sz w:val="24"/>
                <w:szCs w:val="24"/>
              </w:rPr>
            </w:pPr>
            <w:r w:rsidRPr="00C316F8">
              <w:rPr>
                <w:rFonts w:cstheme="minorHAnsi"/>
                <w:b/>
                <w:sz w:val="24"/>
                <w:szCs w:val="24"/>
              </w:rPr>
              <w:t>p</w:t>
            </w:r>
          </w:p>
        </w:tc>
      </w:tr>
      <w:tr w:rsidR="00D961A3" w:rsidRPr="00C316F8" w14:paraId="668D4AEB" w14:textId="77777777" w:rsidTr="00727B5B">
        <w:tc>
          <w:tcPr>
            <w:tcW w:w="0" w:type="auto"/>
          </w:tcPr>
          <w:p w14:paraId="4A9E12CD" w14:textId="77777777" w:rsidR="00D961A3" w:rsidRPr="00C316F8" w:rsidRDefault="00D961A3" w:rsidP="00727B5B">
            <w:pPr>
              <w:jc w:val="both"/>
              <w:rPr>
                <w:rFonts w:cstheme="minorHAnsi"/>
                <w:bCs/>
                <w:sz w:val="24"/>
                <w:szCs w:val="24"/>
              </w:rPr>
            </w:pPr>
            <w:r w:rsidRPr="00C316F8">
              <w:rPr>
                <w:rFonts w:cstheme="minorHAnsi"/>
                <w:bCs/>
                <w:sz w:val="24"/>
                <w:szCs w:val="24"/>
              </w:rPr>
              <w:t>WHITE-MESTIZO</w:t>
            </w:r>
          </w:p>
        </w:tc>
        <w:tc>
          <w:tcPr>
            <w:tcW w:w="0" w:type="auto"/>
          </w:tcPr>
          <w:p w14:paraId="2D44206F" w14:textId="77777777" w:rsidR="00D961A3" w:rsidRPr="00C316F8" w:rsidRDefault="00D961A3" w:rsidP="00727B5B">
            <w:pPr>
              <w:jc w:val="both"/>
              <w:rPr>
                <w:rFonts w:cstheme="minorHAnsi"/>
                <w:sz w:val="24"/>
                <w:szCs w:val="24"/>
              </w:rPr>
            </w:pPr>
            <w:r w:rsidRPr="00C316F8">
              <w:rPr>
                <w:rFonts w:cstheme="minorHAnsi"/>
                <w:sz w:val="24"/>
                <w:szCs w:val="24"/>
              </w:rPr>
              <w:t>12.8 IQR (9.3)</w:t>
            </w:r>
          </w:p>
        </w:tc>
        <w:tc>
          <w:tcPr>
            <w:tcW w:w="0" w:type="auto"/>
            <w:vMerge w:val="restart"/>
          </w:tcPr>
          <w:p w14:paraId="299D13A0" w14:textId="77777777" w:rsidR="00D961A3" w:rsidRPr="00C316F8" w:rsidRDefault="00D961A3" w:rsidP="00727B5B">
            <w:pPr>
              <w:jc w:val="both"/>
              <w:rPr>
                <w:rFonts w:cstheme="minorHAnsi"/>
                <w:sz w:val="24"/>
                <w:szCs w:val="24"/>
              </w:rPr>
            </w:pPr>
            <w:r w:rsidRPr="00C316F8">
              <w:rPr>
                <w:rFonts w:cstheme="minorHAnsi"/>
                <w:sz w:val="24"/>
                <w:szCs w:val="24"/>
              </w:rPr>
              <w:t>&lt;0.0005</w:t>
            </w:r>
          </w:p>
        </w:tc>
        <w:tc>
          <w:tcPr>
            <w:tcW w:w="0" w:type="auto"/>
          </w:tcPr>
          <w:p w14:paraId="0A0697AD" w14:textId="77777777" w:rsidR="00D961A3" w:rsidRPr="00C316F8" w:rsidRDefault="00D961A3" w:rsidP="00727B5B">
            <w:pPr>
              <w:jc w:val="both"/>
              <w:rPr>
                <w:rFonts w:cstheme="minorHAnsi"/>
                <w:sz w:val="24"/>
                <w:szCs w:val="24"/>
              </w:rPr>
            </w:pPr>
            <w:r w:rsidRPr="00C316F8">
              <w:rPr>
                <w:rFonts w:cstheme="minorHAnsi"/>
                <w:sz w:val="24"/>
                <w:szCs w:val="24"/>
              </w:rPr>
              <w:t>12.8 IQR (8.6)</w:t>
            </w:r>
          </w:p>
        </w:tc>
        <w:tc>
          <w:tcPr>
            <w:tcW w:w="0" w:type="auto"/>
          </w:tcPr>
          <w:p w14:paraId="39F58451" w14:textId="77777777" w:rsidR="00D961A3" w:rsidRPr="00C316F8" w:rsidRDefault="00D961A3" w:rsidP="00727B5B">
            <w:pPr>
              <w:jc w:val="both"/>
              <w:rPr>
                <w:rFonts w:cstheme="minorHAnsi"/>
                <w:sz w:val="24"/>
                <w:szCs w:val="24"/>
              </w:rPr>
            </w:pPr>
            <w:r w:rsidRPr="00C316F8">
              <w:rPr>
                <w:rFonts w:cstheme="minorHAnsi"/>
                <w:sz w:val="24"/>
                <w:szCs w:val="24"/>
              </w:rPr>
              <w:t>14.2 IQR (14.3)</w:t>
            </w:r>
          </w:p>
        </w:tc>
        <w:tc>
          <w:tcPr>
            <w:tcW w:w="0" w:type="auto"/>
            <w:vMerge w:val="restart"/>
          </w:tcPr>
          <w:p w14:paraId="1AE1E14F" w14:textId="77777777" w:rsidR="00D961A3" w:rsidRPr="00C316F8" w:rsidRDefault="00D961A3" w:rsidP="00727B5B">
            <w:pPr>
              <w:jc w:val="both"/>
              <w:rPr>
                <w:rFonts w:cstheme="minorHAnsi"/>
                <w:sz w:val="24"/>
                <w:szCs w:val="24"/>
              </w:rPr>
            </w:pPr>
            <w:r w:rsidRPr="00C316F8">
              <w:rPr>
                <w:rFonts w:cstheme="minorHAnsi"/>
                <w:sz w:val="24"/>
                <w:szCs w:val="24"/>
              </w:rPr>
              <w:t>&lt;0.0005</w:t>
            </w:r>
          </w:p>
        </w:tc>
      </w:tr>
      <w:tr w:rsidR="00D961A3" w:rsidRPr="00C316F8" w14:paraId="510DAD54" w14:textId="77777777" w:rsidTr="00727B5B">
        <w:tc>
          <w:tcPr>
            <w:tcW w:w="0" w:type="auto"/>
          </w:tcPr>
          <w:p w14:paraId="5580148D" w14:textId="77777777" w:rsidR="00D961A3" w:rsidRPr="00C316F8" w:rsidRDefault="00D961A3" w:rsidP="00727B5B">
            <w:pPr>
              <w:jc w:val="both"/>
              <w:rPr>
                <w:rFonts w:cstheme="minorHAnsi"/>
                <w:bCs/>
                <w:sz w:val="24"/>
                <w:szCs w:val="24"/>
              </w:rPr>
            </w:pPr>
            <w:r w:rsidRPr="00C316F8">
              <w:rPr>
                <w:rFonts w:cstheme="minorHAnsi"/>
                <w:bCs/>
                <w:sz w:val="24"/>
                <w:szCs w:val="24"/>
              </w:rPr>
              <w:t>AFROCOLOMBIANS</w:t>
            </w:r>
          </w:p>
        </w:tc>
        <w:tc>
          <w:tcPr>
            <w:tcW w:w="0" w:type="auto"/>
          </w:tcPr>
          <w:p w14:paraId="2DA156BE" w14:textId="77777777" w:rsidR="00D961A3" w:rsidRPr="00C316F8" w:rsidRDefault="00D961A3" w:rsidP="00727B5B">
            <w:pPr>
              <w:jc w:val="both"/>
              <w:rPr>
                <w:rFonts w:cstheme="minorHAnsi"/>
                <w:sz w:val="24"/>
                <w:szCs w:val="24"/>
              </w:rPr>
            </w:pPr>
            <w:r w:rsidRPr="00C316F8">
              <w:rPr>
                <w:rFonts w:cstheme="minorHAnsi"/>
                <w:sz w:val="24"/>
                <w:szCs w:val="24"/>
              </w:rPr>
              <w:t>19.9 IQR (28.2)</w:t>
            </w:r>
          </w:p>
        </w:tc>
        <w:tc>
          <w:tcPr>
            <w:tcW w:w="0" w:type="auto"/>
            <w:vMerge/>
          </w:tcPr>
          <w:p w14:paraId="2189719F" w14:textId="77777777" w:rsidR="00D961A3" w:rsidRPr="00C316F8" w:rsidRDefault="00D961A3" w:rsidP="00727B5B">
            <w:pPr>
              <w:jc w:val="both"/>
              <w:rPr>
                <w:rFonts w:cstheme="minorHAnsi"/>
                <w:sz w:val="24"/>
                <w:szCs w:val="24"/>
              </w:rPr>
            </w:pPr>
          </w:p>
        </w:tc>
        <w:tc>
          <w:tcPr>
            <w:tcW w:w="0" w:type="auto"/>
          </w:tcPr>
          <w:p w14:paraId="30D895E3" w14:textId="77777777" w:rsidR="00D961A3" w:rsidRPr="00C316F8" w:rsidRDefault="00D961A3" w:rsidP="00727B5B">
            <w:pPr>
              <w:jc w:val="both"/>
              <w:rPr>
                <w:rFonts w:cstheme="minorHAnsi"/>
                <w:sz w:val="24"/>
                <w:szCs w:val="24"/>
              </w:rPr>
            </w:pPr>
            <w:r w:rsidRPr="00C316F8">
              <w:rPr>
                <w:rFonts w:cstheme="minorHAnsi"/>
                <w:sz w:val="24"/>
                <w:szCs w:val="24"/>
              </w:rPr>
              <w:t>19.9 IQR (28.2)</w:t>
            </w:r>
          </w:p>
        </w:tc>
        <w:tc>
          <w:tcPr>
            <w:tcW w:w="0" w:type="auto"/>
          </w:tcPr>
          <w:p w14:paraId="7FFAF6FC" w14:textId="77777777" w:rsidR="00D961A3" w:rsidRPr="00C316F8" w:rsidRDefault="00D961A3" w:rsidP="00727B5B">
            <w:pPr>
              <w:jc w:val="both"/>
              <w:rPr>
                <w:rFonts w:cstheme="minorHAnsi"/>
                <w:sz w:val="24"/>
                <w:szCs w:val="24"/>
              </w:rPr>
            </w:pPr>
            <w:r w:rsidRPr="00C316F8">
              <w:rPr>
                <w:rFonts w:cstheme="minorHAnsi"/>
                <w:sz w:val="24"/>
                <w:szCs w:val="24"/>
              </w:rPr>
              <w:t>21.2 IQR (26.9)</w:t>
            </w:r>
          </w:p>
        </w:tc>
        <w:tc>
          <w:tcPr>
            <w:tcW w:w="0" w:type="auto"/>
            <w:vMerge/>
          </w:tcPr>
          <w:p w14:paraId="59E2135D" w14:textId="77777777" w:rsidR="00D961A3" w:rsidRPr="00C316F8" w:rsidRDefault="00D961A3" w:rsidP="00727B5B">
            <w:pPr>
              <w:jc w:val="both"/>
              <w:rPr>
                <w:rFonts w:cstheme="minorHAnsi"/>
                <w:sz w:val="24"/>
                <w:szCs w:val="24"/>
              </w:rPr>
            </w:pPr>
          </w:p>
        </w:tc>
      </w:tr>
      <w:tr w:rsidR="00D961A3" w:rsidRPr="00C316F8" w14:paraId="42DF51EA" w14:textId="77777777" w:rsidTr="00727B5B">
        <w:tc>
          <w:tcPr>
            <w:tcW w:w="0" w:type="auto"/>
          </w:tcPr>
          <w:p w14:paraId="14BF417D" w14:textId="77777777" w:rsidR="00D961A3" w:rsidRPr="00C316F8" w:rsidRDefault="00D961A3" w:rsidP="00727B5B">
            <w:pPr>
              <w:jc w:val="both"/>
              <w:rPr>
                <w:rFonts w:cstheme="minorHAnsi"/>
                <w:bCs/>
                <w:sz w:val="24"/>
                <w:szCs w:val="24"/>
              </w:rPr>
            </w:pPr>
            <w:r w:rsidRPr="00C316F8">
              <w:rPr>
                <w:rFonts w:cstheme="minorHAnsi"/>
                <w:bCs/>
                <w:sz w:val="24"/>
                <w:szCs w:val="24"/>
              </w:rPr>
              <w:t>INDIGENOUS</w:t>
            </w:r>
          </w:p>
        </w:tc>
        <w:tc>
          <w:tcPr>
            <w:tcW w:w="0" w:type="auto"/>
          </w:tcPr>
          <w:p w14:paraId="08402750" w14:textId="77777777" w:rsidR="00D961A3" w:rsidRPr="00C316F8" w:rsidRDefault="00D961A3" w:rsidP="00727B5B">
            <w:pPr>
              <w:jc w:val="both"/>
              <w:rPr>
                <w:rFonts w:cstheme="minorHAnsi"/>
                <w:sz w:val="24"/>
                <w:szCs w:val="24"/>
              </w:rPr>
            </w:pPr>
            <w:r w:rsidRPr="00C316F8">
              <w:rPr>
                <w:rFonts w:cstheme="minorHAnsi"/>
                <w:sz w:val="24"/>
                <w:szCs w:val="24"/>
              </w:rPr>
              <w:t>27.1 IQR (29.6)</w:t>
            </w:r>
          </w:p>
        </w:tc>
        <w:tc>
          <w:tcPr>
            <w:tcW w:w="0" w:type="auto"/>
            <w:vMerge/>
          </w:tcPr>
          <w:p w14:paraId="2030E5CE" w14:textId="77777777" w:rsidR="00D961A3" w:rsidRPr="00C316F8" w:rsidRDefault="00D961A3" w:rsidP="00727B5B">
            <w:pPr>
              <w:jc w:val="both"/>
              <w:rPr>
                <w:rFonts w:cstheme="minorHAnsi"/>
                <w:sz w:val="24"/>
                <w:szCs w:val="24"/>
              </w:rPr>
            </w:pPr>
          </w:p>
        </w:tc>
        <w:tc>
          <w:tcPr>
            <w:tcW w:w="0" w:type="auto"/>
          </w:tcPr>
          <w:p w14:paraId="0EECDD17" w14:textId="77777777" w:rsidR="00D961A3" w:rsidRPr="00C316F8" w:rsidRDefault="00D961A3" w:rsidP="00727B5B">
            <w:pPr>
              <w:jc w:val="both"/>
              <w:rPr>
                <w:rFonts w:cstheme="minorHAnsi"/>
                <w:sz w:val="24"/>
                <w:szCs w:val="24"/>
              </w:rPr>
            </w:pPr>
            <w:r w:rsidRPr="00C316F8">
              <w:rPr>
                <w:rFonts w:cstheme="minorHAnsi"/>
                <w:sz w:val="24"/>
                <w:szCs w:val="24"/>
              </w:rPr>
              <w:t>26.4 IQR (29.7)</w:t>
            </w:r>
          </w:p>
        </w:tc>
        <w:tc>
          <w:tcPr>
            <w:tcW w:w="0" w:type="auto"/>
          </w:tcPr>
          <w:p w14:paraId="2FEA793F" w14:textId="77777777" w:rsidR="00D961A3" w:rsidRPr="00C316F8" w:rsidRDefault="00D961A3" w:rsidP="00727B5B">
            <w:pPr>
              <w:jc w:val="both"/>
              <w:rPr>
                <w:rFonts w:cstheme="minorHAnsi"/>
                <w:sz w:val="24"/>
                <w:szCs w:val="24"/>
              </w:rPr>
            </w:pPr>
            <w:r w:rsidRPr="00C316F8">
              <w:rPr>
                <w:rFonts w:cstheme="minorHAnsi"/>
                <w:sz w:val="24"/>
                <w:szCs w:val="24"/>
              </w:rPr>
              <w:t>30.5 IQR (29.1)</w:t>
            </w:r>
          </w:p>
        </w:tc>
        <w:tc>
          <w:tcPr>
            <w:tcW w:w="0" w:type="auto"/>
            <w:vMerge/>
          </w:tcPr>
          <w:p w14:paraId="513A4113" w14:textId="77777777" w:rsidR="00D961A3" w:rsidRPr="00C316F8" w:rsidRDefault="00D961A3" w:rsidP="00727B5B">
            <w:pPr>
              <w:jc w:val="both"/>
              <w:rPr>
                <w:rFonts w:cstheme="minorHAnsi"/>
                <w:sz w:val="24"/>
                <w:szCs w:val="24"/>
              </w:rPr>
            </w:pPr>
          </w:p>
        </w:tc>
      </w:tr>
      <w:tr w:rsidR="00D961A3" w:rsidRPr="00C316F8" w14:paraId="539EAD18" w14:textId="77777777" w:rsidTr="00727B5B">
        <w:tc>
          <w:tcPr>
            <w:tcW w:w="0" w:type="auto"/>
          </w:tcPr>
          <w:p w14:paraId="0C5659F3" w14:textId="77777777" w:rsidR="00D961A3" w:rsidRPr="00C316F8" w:rsidRDefault="00D961A3" w:rsidP="00727B5B">
            <w:pPr>
              <w:jc w:val="both"/>
              <w:rPr>
                <w:rFonts w:cstheme="minorHAnsi"/>
                <w:bCs/>
                <w:sz w:val="24"/>
                <w:szCs w:val="24"/>
              </w:rPr>
            </w:pPr>
            <w:r w:rsidRPr="00C316F8">
              <w:rPr>
                <w:rFonts w:cstheme="minorHAnsi"/>
                <w:bCs/>
                <w:sz w:val="24"/>
                <w:szCs w:val="24"/>
              </w:rPr>
              <w:t>NON PDET</w:t>
            </w:r>
          </w:p>
        </w:tc>
        <w:tc>
          <w:tcPr>
            <w:tcW w:w="0" w:type="auto"/>
          </w:tcPr>
          <w:p w14:paraId="67C56DE1" w14:textId="77777777" w:rsidR="00D961A3" w:rsidRPr="00C316F8" w:rsidRDefault="00D961A3" w:rsidP="00727B5B">
            <w:pPr>
              <w:jc w:val="both"/>
              <w:rPr>
                <w:rFonts w:cstheme="minorHAnsi"/>
                <w:sz w:val="24"/>
                <w:szCs w:val="24"/>
              </w:rPr>
            </w:pPr>
            <w:r w:rsidRPr="00C316F8">
              <w:rPr>
                <w:rFonts w:cstheme="minorHAnsi"/>
                <w:sz w:val="24"/>
                <w:szCs w:val="24"/>
              </w:rPr>
              <w:t>12.8 IQR (8.4)</w:t>
            </w:r>
          </w:p>
        </w:tc>
        <w:tc>
          <w:tcPr>
            <w:tcW w:w="0" w:type="auto"/>
          </w:tcPr>
          <w:p w14:paraId="1C155032" w14:textId="77777777" w:rsidR="00D961A3" w:rsidRPr="00C316F8" w:rsidRDefault="00D961A3" w:rsidP="00727B5B">
            <w:pPr>
              <w:jc w:val="both"/>
              <w:rPr>
                <w:rFonts w:cstheme="minorHAnsi"/>
                <w:sz w:val="24"/>
                <w:szCs w:val="24"/>
              </w:rPr>
            </w:pPr>
            <w:r w:rsidRPr="00C316F8">
              <w:rPr>
                <w:rFonts w:cstheme="minorHAnsi"/>
                <w:sz w:val="24"/>
                <w:szCs w:val="24"/>
              </w:rPr>
              <w:t>&lt;0.0005</w:t>
            </w:r>
          </w:p>
          <w:p w14:paraId="78B24083" w14:textId="77777777" w:rsidR="00D961A3" w:rsidRPr="00C316F8" w:rsidRDefault="00D961A3" w:rsidP="00727B5B">
            <w:pPr>
              <w:jc w:val="both"/>
              <w:rPr>
                <w:rFonts w:cstheme="minorHAnsi"/>
                <w:sz w:val="24"/>
                <w:szCs w:val="24"/>
              </w:rPr>
            </w:pPr>
          </w:p>
        </w:tc>
        <w:tc>
          <w:tcPr>
            <w:tcW w:w="0" w:type="auto"/>
          </w:tcPr>
          <w:p w14:paraId="6961E430" w14:textId="77777777" w:rsidR="00D961A3" w:rsidRPr="00C316F8" w:rsidRDefault="00D961A3" w:rsidP="00727B5B">
            <w:pPr>
              <w:jc w:val="both"/>
              <w:rPr>
                <w:rFonts w:cstheme="minorHAnsi"/>
                <w:sz w:val="24"/>
                <w:szCs w:val="24"/>
              </w:rPr>
            </w:pPr>
            <w:r w:rsidRPr="00C316F8">
              <w:rPr>
                <w:rFonts w:cstheme="minorHAnsi"/>
                <w:sz w:val="24"/>
                <w:szCs w:val="24"/>
              </w:rPr>
              <w:t>12.8 IQR (5.4)</w:t>
            </w:r>
          </w:p>
        </w:tc>
        <w:tc>
          <w:tcPr>
            <w:tcW w:w="0" w:type="auto"/>
          </w:tcPr>
          <w:p w14:paraId="6B7BF65A" w14:textId="77777777" w:rsidR="00D961A3" w:rsidRPr="00C316F8" w:rsidRDefault="00D961A3" w:rsidP="00727B5B">
            <w:pPr>
              <w:jc w:val="both"/>
              <w:rPr>
                <w:rFonts w:cstheme="minorHAnsi"/>
                <w:sz w:val="24"/>
                <w:szCs w:val="24"/>
              </w:rPr>
            </w:pPr>
            <w:r w:rsidRPr="00C316F8">
              <w:rPr>
                <w:rFonts w:cstheme="minorHAnsi"/>
                <w:sz w:val="24"/>
                <w:szCs w:val="24"/>
              </w:rPr>
              <w:t>14.1 IQR (10.3)</w:t>
            </w:r>
          </w:p>
        </w:tc>
        <w:tc>
          <w:tcPr>
            <w:tcW w:w="0" w:type="auto"/>
          </w:tcPr>
          <w:p w14:paraId="0DA6D0A3" w14:textId="77777777" w:rsidR="00D961A3" w:rsidRPr="00C316F8" w:rsidRDefault="00D961A3" w:rsidP="00727B5B">
            <w:pPr>
              <w:jc w:val="both"/>
              <w:rPr>
                <w:rFonts w:cstheme="minorHAnsi"/>
                <w:sz w:val="24"/>
                <w:szCs w:val="24"/>
              </w:rPr>
            </w:pPr>
            <w:r w:rsidRPr="00C316F8">
              <w:rPr>
                <w:rFonts w:cstheme="minorHAnsi"/>
                <w:sz w:val="24"/>
                <w:szCs w:val="24"/>
              </w:rPr>
              <w:t>&lt;0.0005</w:t>
            </w:r>
          </w:p>
        </w:tc>
      </w:tr>
    </w:tbl>
    <w:p w14:paraId="67E1A502" w14:textId="77777777" w:rsidR="00367FE6" w:rsidRPr="00C316F8" w:rsidRDefault="00367FE6" w:rsidP="00367FE6">
      <w:pPr>
        <w:jc w:val="both"/>
        <w:rPr>
          <w:rFonts w:eastAsia="Calibri" w:cstheme="minorHAnsi"/>
          <w:sz w:val="24"/>
          <w:szCs w:val="24"/>
          <w:lang w:val="es-CO"/>
        </w:rPr>
      </w:pPr>
      <w:r w:rsidRPr="00C316F8">
        <w:rPr>
          <w:rFonts w:eastAsia="Calibri" w:cstheme="minorHAnsi"/>
          <w:sz w:val="24"/>
          <w:szCs w:val="24"/>
          <w:lang w:val="es-CO"/>
        </w:rPr>
        <w:t>Fuente, elaboración propia.</w:t>
      </w:r>
    </w:p>
    <w:p w14:paraId="09634E2F" w14:textId="77777777" w:rsidR="00D961A3" w:rsidRPr="00C316F8" w:rsidRDefault="00D961A3" w:rsidP="00D961A3">
      <w:pPr>
        <w:jc w:val="both"/>
        <w:rPr>
          <w:rFonts w:cstheme="minorHAnsi"/>
          <w:sz w:val="24"/>
          <w:szCs w:val="24"/>
        </w:rPr>
      </w:pPr>
    </w:p>
    <w:p w14:paraId="41BB1A18" w14:textId="4C6FDDF7"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La Tabla </w:t>
      </w:r>
      <w:r w:rsidR="00367FE6" w:rsidRPr="00C316F8">
        <w:rPr>
          <w:rFonts w:cstheme="minorHAnsi"/>
          <w:sz w:val="24"/>
          <w:szCs w:val="24"/>
          <w:lang w:val="es-CO"/>
        </w:rPr>
        <w:t>12</w:t>
      </w:r>
      <w:r w:rsidRPr="00C316F8">
        <w:rPr>
          <w:rFonts w:cstheme="minorHAnsi"/>
          <w:sz w:val="24"/>
          <w:szCs w:val="24"/>
          <w:lang w:val="es-CO"/>
        </w:rPr>
        <w:t xml:space="preserve"> presenta los resultados del análisis bivariado ajustado por sexo, con el cálculo de las razones de momios (OR). El sexo masculino tuvo una OR de 1,79 (IC 95%: 1,77–1,81; p &lt; 0,0005), y las OR para la edad aumentaron con el incremento de los grupos etarios. Se observó una OR de 1,69 (IC 95%: 1,66–1,72) en los municipios clasificados como ZOMAC, y una OR de 1,34 (IC 95%: 1,44–1,49) en los municipios PDET. La OR para personas indígenas fue de 1,22 (IC 95%: 1,17–1,28), y para los afrocolombianos fue de 1,14 (IC 95%: 1,11–1,18).</w:t>
      </w:r>
    </w:p>
    <w:p w14:paraId="073D3137" w14:textId="77777777" w:rsidR="002802E5" w:rsidRPr="00C316F8" w:rsidRDefault="002802E5" w:rsidP="00D961A3">
      <w:pPr>
        <w:pStyle w:val="Descripcin"/>
        <w:rPr>
          <w:rFonts w:ascii="Calibri" w:hAnsi="Calibri" w:cs="Calibri"/>
          <w:b/>
          <w:bCs/>
          <w:i w:val="0"/>
          <w:iCs w:val="0"/>
          <w:color w:val="auto"/>
          <w:sz w:val="24"/>
          <w:szCs w:val="24"/>
        </w:rPr>
      </w:pPr>
    </w:p>
    <w:p w14:paraId="41E4ED53" w14:textId="5C7D2142" w:rsidR="00D961A3" w:rsidRPr="00C316F8" w:rsidRDefault="00D961A3" w:rsidP="00D961A3">
      <w:pPr>
        <w:pStyle w:val="Descripcin"/>
        <w:rPr>
          <w:rFonts w:ascii="Calibri" w:hAnsi="Calibri" w:cs="Calibri"/>
          <w:b/>
          <w:bCs/>
          <w:i w:val="0"/>
          <w:iCs w:val="0"/>
          <w:color w:val="auto"/>
          <w:sz w:val="24"/>
          <w:szCs w:val="24"/>
        </w:rPr>
      </w:pPr>
      <w:bookmarkStart w:id="75" w:name="_Toc229834700"/>
      <w:r w:rsidRPr="00C316F8">
        <w:rPr>
          <w:rFonts w:ascii="Calibri" w:hAnsi="Calibri" w:cs="Calibri"/>
          <w:b/>
          <w:bCs/>
          <w:i w:val="0"/>
          <w:iCs w:val="0"/>
          <w:color w:val="auto"/>
          <w:sz w:val="24"/>
          <w:szCs w:val="24"/>
        </w:rPr>
        <w:t xml:space="preserve">Tabla </w:t>
      </w:r>
      <w:r w:rsidRPr="00C316F8">
        <w:rPr>
          <w:rFonts w:ascii="Calibri" w:hAnsi="Calibri" w:cs="Calibri"/>
          <w:b/>
          <w:bCs/>
          <w:i w:val="0"/>
          <w:iCs w:val="0"/>
          <w:color w:val="auto"/>
          <w:sz w:val="24"/>
          <w:szCs w:val="24"/>
        </w:rPr>
        <w:fldChar w:fldCharType="begin"/>
      </w:r>
      <w:r w:rsidRPr="00C316F8">
        <w:rPr>
          <w:rFonts w:ascii="Calibri" w:hAnsi="Calibri" w:cs="Calibri"/>
          <w:b/>
          <w:bCs/>
          <w:i w:val="0"/>
          <w:iCs w:val="0"/>
          <w:color w:val="auto"/>
          <w:sz w:val="24"/>
          <w:szCs w:val="24"/>
        </w:rPr>
        <w:instrText xml:space="preserve"> SEQ Tabla \* ARABIC </w:instrText>
      </w:r>
      <w:r w:rsidRPr="00C316F8">
        <w:rPr>
          <w:rFonts w:ascii="Calibri" w:hAnsi="Calibri" w:cs="Calibri"/>
          <w:b/>
          <w:bCs/>
          <w:i w:val="0"/>
          <w:iCs w:val="0"/>
          <w:color w:val="auto"/>
          <w:sz w:val="24"/>
          <w:szCs w:val="24"/>
        </w:rPr>
        <w:fldChar w:fldCharType="separate"/>
      </w:r>
      <w:r w:rsidR="00432859" w:rsidRPr="00C316F8">
        <w:rPr>
          <w:rFonts w:ascii="Calibri" w:hAnsi="Calibri" w:cs="Calibri"/>
          <w:b/>
          <w:bCs/>
          <w:i w:val="0"/>
          <w:iCs w:val="0"/>
          <w:noProof/>
          <w:color w:val="auto"/>
          <w:sz w:val="24"/>
          <w:szCs w:val="24"/>
        </w:rPr>
        <w:t>12</w:t>
      </w:r>
      <w:r w:rsidRPr="00C316F8">
        <w:rPr>
          <w:rFonts w:ascii="Calibri" w:hAnsi="Calibri" w:cs="Calibri"/>
          <w:b/>
          <w:bCs/>
          <w:i w:val="0"/>
          <w:iCs w:val="0"/>
          <w:color w:val="auto"/>
          <w:sz w:val="24"/>
          <w:szCs w:val="24"/>
        </w:rPr>
        <w:fldChar w:fldCharType="end"/>
      </w:r>
      <w:r w:rsidRPr="00C316F8">
        <w:rPr>
          <w:rFonts w:ascii="Calibri" w:hAnsi="Calibri" w:cs="Calibri"/>
          <w:b/>
          <w:bCs/>
          <w:i w:val="0"/>
          <w:iCs w:val="0"/>
          <w:color w:val="auto"/>
          <w:sz w:val="24"/>
          <w:szCs w:val="24"/>
        </w:rPr>
        <w:t>. Análisis bivariado ajustado por sexo. Colombia, 2020-2022</w:t>
      </w:r>
      <w:bookmarkEnd w:id="75"/>
    </w:p>
    <w:p w14:paraId="0671647E" w14:textId="77777777" w:rsidR="00D961A3" w:rsidRPr="00C316F8" w:rsidRDefault="00D961A3" w:rsidP="00D961A3">
      <w:pPr>
        <w:jc w:val="both"/>
        <w:rPr>
          <w:rFonts w:cstheme="minorHAnsi"/>
          <w:bCs/>
          <w:sz w:val="24"/>
          <w:szCs w:val="24"/>
        </w:rPr>
      </w:pPr>
    </w:p>
    <w:tbl>
      <w:tblPr>
        <w:tblStyle w:val="Tablaconcuadrcula"/>
        <w:tblW w:w="0" w:type="auto"/>
        <w:tblLook w:val="04A0" w:firstRow="1" w:lastRow="0" w:firstColumn="1" w:lastColumn="0" w:noHBand="0" w:noVBand="1"/>
      </w:tblPr>
      <w:tblGrid>
        <w:gridCol w:w="4078"/>
        <w:gridCol w:w="642"/>
        <w:gridCol w:w="1352"/>
        <w:gridCol w:w="1062"/>
      </w:tblGrid>
      <w:tr w:rsidR="00D961A3" w:rsidRPr="00C316F8" w14:paraId="07A85C49" w14:textId="77777777" w:rsidTr="00727B5B">
        <w:trPr>
          <w:tblHeader/>
        </w:trPr>
        <w:tc>
          <w:tcPr>
            <w:tcW w:w="0" w:type="auto"/>
          </w:tcPr>
          <w:p w14:paraId="4728F95C" w14:textId="77777777" w:rsidR="00D961A3" w:rsidRPr="00C316F8" w:rsidRDefault="00D961A3" w:rsidP="00727B5B">
            <w:pPr>
              <w:jc w:val="both"/>
              <w:rPr>
                <w:rFonts w:cstheme="minorHAnsi"/>
                <w:b/>
                <w:sz w:val="24"/>
                <w:szCs w:val="24"/>
              </w:rPr>
            </w:pPr>
            <w:r w:rsidRPr="00C316F8">
              <w:rPr>
                <w:rFonts w:cstheme="minorHAnsi"/>
                <w:b/>
                <w:sz w:val="24"/>
                <w:szCs w:val="24"/>
              </w:rPr>
              <w:lastRenderedPageBreak/>
              <w:t>VARIABLE</w:t>
            </w:r>
          </w:p>
        </w:tc>
        <w:tc>
          <w:tcPr>
            <w:tcW w:w="0" w:type="auto"/>
          </w:tcPr>
          <w:p w14:paraId="09F3121F" w14:textId="77777777" w:rsidR="00D961A3" w:rsidRPr="00C316F8" w:rsidRDefault="00D961A3" w:rsidP="00727B5B">
            <w:pPr>
              <w:jc w:val="both"/>
              <w:rPr>
                <w:rFonts w:cstheme="minorHAnsi"/>
                <w:b/>
                <w:sz w:val="24"/>
                <w:szCs w:val="24"/>
              </w:rPr>
            </w:pPr>
            <w:r w:rsidRPr="00C316F8">
              <w:rPr>
                <w:rFonts w:cstheme="minorHAnsi"/>
                <w:b/>
                <w:sz w:val="24"/>
                <w:szCs w:val="24"/>
              </w:rPr>
              <w:t>OR</w:t>
            </w:r>
          </w:p>
        </w:tc>
        <w:tc>
          <w:tcPr>
            <w:tcW w:w="0" w:type="auto"/>
          </w:tcPr>
          <w:p w14:paraId="4D0ADE9E" w14:textId="77777777" w:rsidR="00D961A3" w:rsidRPr="00C316F8" w:rsidRDefault="00D961A3" w:rsidP="00727B5B">
            <w:pPr>
              <w:jc w:val="both"/>
              <w:rPr>
                <w:rFonts w:cstheme="minorHAnsi"/>
                <w:b/>
                <w:sz w:val="24"/>
                <w:szCs w:val="24"/>
              </w:rPr>
            </w:pPr>
            <w:r w:rsidRPr="00C316F8">
              <w:rPr>
                <w:rFonts w:cstheme="minorHAnsi"/>
                <w:b/>
                <w:sz w:val="24"/>
                <w:szCs w:val="24"/>
              </w:rPr>
              <w:t>CI 95%</w:t>
            </w:r>
          </w:p>
        </w:tc>
        <w:tc>
          <w:tcPr>
            <w:tcW w:w="0" w:type="auto"/>
          </w:tcPr>
          <w:p w14:paraId="350B2572" w14:textId="77777777" w:rsidR="00D961A3" w:rsidRPr="00C316F8" w:rsidRDefault="00D961A3" w:rsidP="00727B5B">
            <w:pPr>
              <w:jc w:val="both"/>
              <w:rPr>
                <w:rFonts w:cstheme="minorHAnsi"/>
                <w:b/>
                <w:sz w:val="24"/>
                <w:szCs w:val="24"/>
              </w:rPr>
            </w:pPr>
            <w:r w:rsidRPr="00C316F8">
              <w:rPr>
                <w:rFonts w:cstheme="minorHAnsi"/>
                <w:b/>
                <w:sz w:val="24"/>
                <w:szCs w:val="24"/>
              </w:rPr>
              <w:t>p VALUE</w:t>
            </w:r>
          </w:p>
        </w:tc>
      </w:tr>
      <w:tr w:rsidR="00D961A3" w:rsidRPr="00C316F8" w14:paraId="690330B4" w14:textId="77777777" w:rsidTr="00727B5B">
        <w:trPr>
          <w:tblHeader/>
        </w:trPr>
        <w:tc>
          <w:tcPr>
            <w:tcW w:w="0" w:type="auto"/>
            <w:gridSpan w:val="4"/>
          </w:tcPr>
          <w:p w14:paraId="60E91623" w14:textId="77777777" w:rsidR="00D961A3" w:rsidRPr="00C316F8" w:rsidRDefault="00D961A3" w:rsidP="00727B5B">
            <w:pPr>
              <w:jc w:val="both"/>
              <w:rPr>
                <w:rFonts w:cstheme="minorHAnsi"/>
                <w:bCs/>
                <w:sz w:val="24"/>
                <w:szCs w:val="24"/>
              </w:rPr>
            </w:pPr>
            <w:r w:rsidRPr="00C316F8">
              <w:rPr>
                <w:rFonts w:cstheme="minorHAnsi"/>
                <w:bCs/>
                <w:sz w:val="24"/>
                <w:szCs w:val="24"/>
              </w:rPr>
              <w:t>GENDER</w:t>
            </w:r>
          </w:p>
        </w:tc>
      </w:tr>
      <w:tr w:rsidR="00D961A3" w:rsidRPr="00C316F8" w14:paraId="1C3CCE2B" w14:textId="77777777" w:rsidTr="00727B5B">
        <w:trPr>
          <w:tblHeader/>
        </w:trPr>
        <w:tc>
          <w:tcPr>
            <w:tcW w:w="0" w:type="auto"/>
          </w:tcPr>
          <w:p w14:paraId="3A704A20" w14:textId="77777777" w:rsidR="00D961A3" w:rsidRPr="00C316F8" w:rsidRDefault="00D961A3" w:rsidP="00727B5B">
            <w:pPr>
              <w:jc w:val="both"/>
              <w:rPr>
                <w:rFonts w:cstheme="minorHAnsi"/>
                <w:bCs/>
                <w:sz w:val="24"/>
                <w:szCs w:val="24"/>
              </w:rPr>
            </w:pPr>
            <w:r w:rsidRPr="00C316F8">
              <w:rPr>
                <w:rFonts w:cstheme="minorHAnsi"/>
                <w:bCs/>
                <w:sz w:val="24"/>
                <w:szCs w:val="24"/>
              </w:rPr>
              <w:t>MALE</w:t>
            </w:r>
          </w:p>
          <w:p w14:paraId="00D87436" w14:textId="77777777" w:rsidR="00D961A3" w:rsidRPr="00C316F8" w:rsidRDefault="00D961A3" w:rsidP="00727B5B">
            <w:pPr>
              <w:jc w:val="both"/>
              <w:rPr>
                <w:rFonts w:cstheme="minorHAnsi"/>
                <w:bCs/>
                <w:sz w:val="24"/>
                <w:szCs w:val="24"/>
              </w:rPr>
            </w:pPr>
            <w:r w:rsidRPr="00C316F8">
              <w:rPr>
                <w:rFonts w:cstheme="minorHAnsi"/>
                <w:bCs/>
                <w:sz w:val="24"/>
                <w:szCs w:val="24"/>
              </w:rPr>
              <w:t>(</w:t>
            </w:r>
            <w:r w:rsidRPr="00C316F8">
              <w:rPr>
                <w:rFonts w:cstheme="minorHAnsi"/>
                <w:sz w:val="24"/>
                <w:szCs w:val="24"/>
              </w:rPr>
              <w:t>Female as the reference group</w:t>
            </w:r>
            <w:r w:rsidRPr="00C316F8">
              <w:rPr>
                <w:rFonts w:cstheme="minorHAnsi"/>
                <w:bCs/>
                <w:sz w:val="24"/>
                <w:szCs w:val="24"/>
              </w:rPr>
              <w:t>)</w:t>
            </w:r>
          </w:p>
        </w:tc>
        <w:tc>
          <w:tcPr>
            <w:tcW w:w="0" w:type="auto"/>
          </w:tcPr>
          <w:p w14:paraId="0AEEF325" w14:textId="77777777" w:rsidR="00D961A3" w:rsidRPr="00C316F8" w:rsidRDefault="00D961A3" w:rsidP="00727B5B">
            <w:pPr>
              <w:jc w:val="both"/>
              <w:rPr>
                <w:rFonts w:cstheme="minorHAnsi"/>
                <w:sz w:val="24"/>
                <w:szCs w:val="24"/>
              </w:rPr>
            </w:pPr>
            <w:r w:rsidRPr="00C316F8">
              <w:rPr>
                <w:rFonts w:cstheme="minorHAnsi"/>
                <w:sz w:val="24"/>
                <w:szCs w:val="24"/>
              </w:rPr>
              <w:t>1.79</w:t>
            </w:r>
          </w:p>
        </w:tc>
        <w:tc>
          <w:tcPr>
            <w:tcW w:w="0" w:type="auto"/>
          </w:tcPr>
          <w:p w14:paraId="0BF27669" w14:textId="77777777" w:rsidR="00D961A3" w:rsidRPr="00C316F8" w:rsidRDefault="00D961A3" w:rsidP="00727B5B">
            <w:pPr>
              <w:jc w:val="both"/>
              <w:rPr>
                <w:rFonts w:cstheme="minorHAnsi"/>
                <w:sz w:val="24"/>
                <w:szCs w:val="24"/>
              </w:rPr>
            </w:pPr>
            <w:r w:rsidRPr="00C316F8">
              <w:rPr>
                <w:rFonts w:cstheme="minorHAnsi"/>
                <w:sz w:val="24"/>
                <w:szCs w:val="24"/>
              </w:rPr>
              <w:t>1.77   1.81</w:t>
            </w:r>
          </w:p>
        </w:tc>
        <w:tc>
          <w:tcPr>
            <w:tcW w:w="0" w:type="auto"/>
          </w:tcPr>
          <w:p w14:paraId="6FB56050" w14:textId="77777777" w:rsidR="00D961A3" w:rsidRPr="00C316F8" w:rsidRDefault="00D961A3" w:rsidP="00727B5B">
            <w:pPr>
              <w:jc w:val="both"/>
              <w:rPr>
                <w:rFonts w:cstheme="minorHAnsi"/>
                <w:sz w:val="24"/>
                <w:szCs w:val="24"/>
              </w:rPr>
            </w:pPr>
            <w:r w:rsidRPr="00C316F8">
              <w:rPr>
                <w:rFonts w:cstheme="minorHAnsi"/>
                <w:sz w:val="24"/>
                <w:szCs w:val="24"/>
              </w:rPr>
              <w:t>&lt; 0.0005</w:t>
            </w:r>
          </w:p>
        </w:tc>
      </w:tr>
      <w:tr w:rsidR="00D961A3" w:rsidRPr="00C316F8" w14:paraId="0E4A923C" w14:textId="77777777" w:rsidTr="00727B5B">
        <w:trPr>
          <w:tblHeader/>
        </w:trPr>
        <w:tc>
          <w:tcPr>
            <w:tcW w:w="0" w:type="auto"/>
            <w:gridSpan w:val="4"/>
          </w:tcPr>
          <w:p w14:paraId="63BE1578" w14:textId="77777777" w:rsidR="00D961A3" w:rsidRPr="00C316F8" w:rsidRDefault="00D961A3" w:rsidP="00727B5B">
            <w:pPr>
              <w:jc w:val="both"/>
              <w:rPr>
                <w:rFonts w:cstheme="minorHAnsi"/>
                <w:bCs/>
                <w:sz w:val="24"/>
                <w:szCs w:val="24"/>
              </w:rPr>
            </w:pPr>
            <w:r w:rsidRPr="00C316F8">
              <w:rPr>
                <w:rFonts w:cstheme="minorHAnsi"/>
                <w:bCs/>
                <w:sz w:val="24"/>
                <w:szCs w:val="24"/>
              </w:rPr>
              <w:t>AGE</w:t>
            </w:r>
          </w:p>
        </w:tc>
      </w:tr>
      <w:tr w:rsidR="00D961A3" w:rsidRPr="00C316F8" w14:paraId="61EA140E" w14:textId="77777777" w:rsidTr="00727B5B">
        <w:trPr>
          <w:tblHeader/>
        </w:trPr>
        <w:tc>
          <w:tcPr>
            <w:tcW w:w="0" w:type="auto"/>
          </w:tcPr>
          <w:p w14:paraId="5DD8C204" w14:textId="77777777" w:rsidR="00D961A3" w:rsidRPr="00C316F8" w:rsidRDefault="00D961A3" w:rsidP="00727B5B">
            <w:pPr>
              <w:jc w:val="both"/>
              <w:rPr>
                <w:rFonts w:cstheme="minorHAnsi"/>
                <w:bCs/>
                <w:sz w:val="24"/>
                <w:szCs w:val="24"/>
              </w:rPr>
            </w:pPr>
            <w:r w:rsidRPr="00C316F8">
              <w:rPr>
                <w:rFonts w:cstheme="minorHAnsi"/>
                <w:bCs/>
                <w:sz w:val="24"/>
                <w:szCs w:val="24"/>
              </w:rPr>
              <w:t>&lt; 18</w:t>
            </w:r>
          </w:p>
        </w:tc>
        <w:tc>
          <w:tcPr>
            <w:tcW w:w="0" w:type="auto"/>
          </w:tcPr>
          <w:p w14:paraId="5F97F276" w14:textId="77777777" w:rsidR="00D961A3" w:rsidRPr="00C316F8" w:rsidRDefault="00D961A3" w:rsidP="00727B5B">
            <w:pPr>
              <w:jc w:val="both"/>
              <w:rPr>
                <w:rFonts w:cstheme="minorHAnsi"/>
                <w:sz w:val="24"/>
                <w:szCs w:val="24"/>
              </w:rPr>
            </w:pPr>
            <w:r w:rsidRPr="00C316F8">
              <w:rPr>
                <w:rFonts w:cstheme="minorHAnsi"/>
                <w:sz w:val="24"/>
                <w:szCs w:val="24"/>
              </w:rPr>
              <w:t>1.18</w:t>
            </w:r>
          </w:p>
        </w:tc>
        <w:tc>
          <w:tcPr>
            <w:tcW w:w="0" w:type="auto"/>
          </w:tcPr>
          <w:p w14:paraId="633D7EFE" w14:textId="77777777" w:rsidR="00D961A3" w:rsidRPr="00C316F8" w:rsidRDefault="00D961A3" w:rsidP="00727B5B">
            <w:pPr>
              <w:jc w:val="both"/>
              <w:rPr>
                <w:rFonts w:cstheme="minorHAnsi"/>
                <w:sz w:val="24"/>
                <w:szCs w:val="24"/>
              </w:rPr>
            </w:pPr>
            <w:r w:rsidRPr="00C316F8">
              <w:rPr>
                <w:rFonts w:cstheme="minorHAnsi"/>
                <w:sz w:val="24"/>
                <w:szCs w:val="24"/>
              </w:rPr>
              <w:t>0.96    1.45</w:t>
            </w:r>
          </w:p>
        </w:tc>
        <w:tc>
          <w:tcPr>
            <w:tcW w:w="0" w:type="auto"/>
          </w:tcPr>
          <w:p w14:paraId="493DC637" w14:textId="77777777" w:rsidR="00D961A3" w:rsidRPr="00C316F8" w:rsidRDefault="00D961A3" w:rsidP="00727B5B">
            <w:pPr>
              <w:jc w:val="both"/>
              <w:rPr>
                <w:rFonts w:cstheme="minorHAnsi"/>
                <w:sz w:val="24"/>
                <w:szCs w:val="24"/>
              </w:rPr>
            </w:pPr>
            <w:r w:rsidRPr="00C316F8">
              <w:rPr>
                <w:rFonts w:cstheme="minorHAnsi"/>
                <w:sz w:val="24"/>
                <w:szCs w:val="24"/>
              </w:rPr>
              <w:t>0.1064</w:t>
            </w:r>
          </w:p>
        </w:tc>
      </w:tr>
      <w:tr w:rsidR="00D961A3" w:rsidRPr="00C316F8" w14:paraId="5031A288" w14:textId="77777777" w:rsidTr="00727B5B">
        <w:trPr>
          <w:tblHeader/>
        </w:trPr>
        <w:tc>
          <w:tcPr>
            <w:tcW w:w="0" w:type="auto"/>
          </w:tcPr>
          <w:p w14:paraId="6C104263" w14:textId="77777777" w:rsidR="00D961A3" w:rsidRPr="00C316F8" w:rsidRDefault="00D961A3" w:rsidP="00727B5B">
            <w:pPr>
              <w:jc w:val="both"/>
              <w:rPr>
                <w:rFonts w:cstheme="minorHAnsi"/>
                <w:bCs/>
                <w:sz w:val="24"/>
                <w:szCs w:val="24"/>
              </w:rPr>
            </w:pPr>
            <w:r w:rsidRPr="00C316F8">
              <w:rPr>
                <w:rFonts w:cstheme="minorHAnsi"/>
                <w:bCs/>
                <w:sz w:val="24"/>
                <w:szCs w:val="24"/>
              </w:rPr>
              <w:t>18-39</w:t>
            </w:r>
          </w:p>
        </w:tc>
        <w:tc>
          <w:tcPr>
            <w:tcW w:w="0" w:type="auto"/>
          </w:tcPr>
          <w:p w14:paraId="46CFBFFC" w14:textId="77777777" w:rsidR="00D961A3" w:rsidRPr="00C316F8" w:rsidRDefault="00D961A3" w:rsidP="00727B5B">
            <w:pPr>
              <w:jc w:val="both"/>
              <w:rPr>
                <w:rFonts w:cstheme="minorHAnsi"/>
                <w:sz w:val="24"/>
                <w:szCs w:val="24"/>
              </w:rPr>
            </w:pPr>
            <w:r w:rsidRPr="00C316F8">
              <w:rPr>
                <w:rFonts w:cstheme="minorHAnsi"/>
                <w:sz w:val="24"/>
                <w:szCs w:val="24"/>
              </w:rPr>
              <w:t>2.12</w:t>
            </w:r>
          </w:p>
        </w:tc>
        <w:tc>
          <w:tcPr>
            <w:tcW w:w="0" w:type="auto"/>
          </w:tcPr>
          <w:p w14:paraId="2B04EF4E" w14:textId="77777777" w:rsidR="00D961A3" w:rsidRPr="00C316F8" w:rsidRDefault="00D961A3" w:rsidP="00727B5B">
            <w:pPr>
              <w:jc w:val="both"/>
              <w:rPr>
                <w:rFonts w:cstheme="minorHAnsi"/>
                <w:sz w:val="24"/>
                <w:szCs w:val="24"/>
              </w:rPr>
            </w:pPr>
            <w:r w:rsidRPr="00C316F8">
              <w:rPr>
                <w:rFonts w:cstheme="minorHAnsi"/>
                <w:sz w:val="24"/>
                <w:szCs w:val="24"/>
              </w:rPr>
              <w:t>2.01    2.23</w:t>
            </w:r>
          </w:p>
        </w:tc>
        <w:tc>
          <w:tcPr>
            <w:tcW w:w="0" w:type="auto"/>
          </w:tcPr>
          <w:p w14:paraId="775D451F" w14:textId="77777777" w:rsidR="00D961A3" w:rsidRPr="00C316F8" w:rsidRDefault="00D961A3" w:rsidP="00727B5B">
            <w:pPr>
              <w:jc w:val="both"/>
              <w:rPr>
                <w:rFonts w:cstheme="minorHAnsi"/>
                <w:sz w:val="24"/>
                <w:szCs w:val="24"/>
              </w:rPr>
            </w:pPr>
            <w:r w:rsidRPr="00C316F8">
              <w:rPr>
                <w:rFonts w:cstheme="minorHAnsi"/>
                <w:sz w:val="24"/>
                <w:szCs w:val="24"/>
              </w:rPr>
              <w:t>&lt; 0.0005</w:t>
            </w:r>
          </w:p>
        </w:tc>
      </w:tr>
      <w:tr w:rsidR="00D961A3" w:rsidRPr="00C316F8" w14:paraId="25A2976E" w14:textId="77777777" w:rsidTr="00727B5B">
        <w:trPr>
          <w:tblHeader/>
        </w:trPr>
        <w:tc>
          <w:tcPr>
            <w:tcW w:w="0" w:type="auto"/>
          </w:tcPr>
          <w:p w14:paraId="1B352761" w14:textId="77777777" w:rsidR="00D961A3" w:rsidRPr="00C316F8" w:rsidRDefault="00D961A3" w:rsidP="00727B5B">
            <w:pPr>
              <w:jc w:val="both"/>
              <w:rPr>
                <w:rFonts w:cstheme="minorHAnsi"/>
                <w:bCs/>
                <w:sz w:val="24"/>
                <w:szCs w:val="24"/>
              </w:rPr>
            </w:pPr>
            <w:r w:rsidRPr="00C316F8">
              <w:rPr>
                <w:rFonts w:cstheme="minorHAnsi"/>
                <w:bCs/>
                <w:sz w:val="24"/>
                <w:szCs w:val="24"/>
              </w:rPr>
              <w:t>40-49</w:t>
            </w:r>
          </w:p>
        </w:tc>
        <w:tc>
          <w:tcPr>
            <w:tcW w:w="0" w:type="auto"/>
          </w:tcPr>
          <w:p w14:paraId="61348443" w14:textId="77777777" w:rsidR="00D961A3" w:rsidRPr="00C316F8" w:rsidRDefault="00D961A3" w:rsidP="00727B5B">
            <w:pPr>
              <w:jc w:val="both"/>
              <w:rPr>
                <w:rFonts w:cstheme="minorHAnsi"/>
                <w:sz w:val="24"/>
                <w:szCs w:val="24"/>
              </w:rPr>
            </w:pPr>
            <w:r w:rsidRPr="00C316F8">
              <w:rPr>
                <w:rFonts w:cstheme="minorHAnsi"/>
                <w:sz w:val="24"/>
                <w:szCs w:val="24"/>
              </w:rPr>
              <w:t>2.37</w:t>
            </w:r>
          </w:p>
        </w:tc>
        <w:tc>
          <w:tcPr>
            <w:tcW w:w="0" w:type="auto"/>
          </w:tcPr>
          <w:p w14:paraId="36C2D7E1" w14:textId="77777777" w:rsidR="00D961A3" w:rsidRPr="00C316F8" w:rsidRDefault="00D961A3" w:rsidP="00727B5B">
            <w:pPr>
              <w:jc w:val="both"/>
              <w:rPr>
                <w:rFonts w:cstheme="minorHAnsi"/>
                <w:sz w:val="24"/>
                <w:szCs w:val="24"/>
              </w:rPr>
            </w:pPr>
            <w:r w:rsidRPr="00C316F8">
              <w:rPr>
                <w:rFonts w:cstheme="minorHAnsi"/>
                <w:sz w:val="24"/>
                <w:szCs w:val="24"/>
              </w:rPr>
              <w:t>2.27    2.47</w:t>
            </w:r>
          </w:p>
        </w:tc>
        <w:tc>
          <w:tcPr>
            <w:tcW w:w="0" w:type="auto"/>
          </w:tcPr>
          <w:p w14:paraId="6BE0AEE6" w14:textId="77777777" w:rsidR="00D961A3" w:rsidRPr="00C316F8" w:rsidRDefault="00D961A3" w:rsidP="00727B5B">
            <w:pPr>
              <w:jc w:val="both"/>
              <w:rPr>
                <w:rFonts w:cstheme="minorHAnsi"/>
                <w:sz w:val="24"/>
                <w:szCs w:val="24"/>
              </w:rPr>
            </w:pPr>
            <w:r w:rsidRPr="00C316F8">
              <w:rPr>
                <w:rFonts w:cstheme="minorHAnsi"/>
                <w:sz w:val="24"/>
                <w:szCs w:val="24"/>
              </w:rPr>
              <w:t>&lt; 0.0005</w:t>
            </w:r>
          </w:p>
        </w:tc>
      </w:tr>
      <w:tr w:rsidR="00D961A3" w:rsidRPr="00C316F8" w14:paraId="48043EDB" w14:textId="77777777" w:rsidTr="00727B5B">
        <w:trPr>
          <w:tblHeader/>
        </w:trPr>
        <w:tc>
          <w:tcPr>
            <w:tcW w:w="0" w:type="auto"/>
          </w:tcPr>
          <w:p w14:paraId="699823C3" w14:textId="77777777" w:rsidR="00D961A3" w:rsidRPr="00C316F8" w:rsidRDefault="00D961A3" w:rsidP="00727B5B">
            <w:pPr>
              <w:jc w:val="both"/>
              <w:rPr>
                <w:rFonts w:cstheme="minorHAnsi"/>
                <w:bCs/>
                <w:sz w:val="24"/>
                <w:szCs w:val="24"/>
              </w:rPr>
            </w:pPr>
            <w:r w:rsidRPr="00C316F8">
              <w:rPr>
                <w:rFonts w:cstheme="minorHAnsi"/>
                <w:bCs/>
                <w:sz w:val="24"/>
                <w:szCs w:val="24"/>
              </w:rPr>
              <w:t>50-59</w:t>
            </w:r>
          </w:p>
        </w:tc>
        <w:tc>
          <w:tcPr>
            <w:tcW w:w="0" w:type="auto"/>
          </w:tcPr>
          <w:p w14:paraId="0CA0D0A7" w14:textId="77777777" w:rsidR="00D961A3" w:rsidRPr="00C316F8" w:rsidRDefault="00D961A3" w:rsidP="00727B5B">
            <w:pPr>
              <w:jc w:val="both"/>
              <w:rPr>
                <w:rFonts w:cstheme="minorHAnsi"/>
                <w:sz w:val="24"/>
                <w:szCs w:val="24"/>
              </w:rPr>
            </w:pPr>
            <w:r w:rsidRPr="00C316F8">
              <w:rPr>
                <w:rFonts w:cstheme="minorHAnsi"/>
                <w:sz w:val="24"/>
                <w:szCs w:val="24"/>
              </w:rPr>
              <w:t>2.13</w:t>
            </w:r>
          </w:p>
        </w:tc>
        <w:tc>
          <w:tcPr>
            <w:tcW w:w="0" w:type="auto"/>
          </w:tcPr>
          <w:p w14:paraId="10713DDC" w14:textId="77777777" w:rsidR="00D961A3" w:rsidRPr="00C316F8" w:rsidRDefault="00D961A3" w:rsidP="00727B5B">
            <w:pPr>
              <w:jc w:val="both"/>
              <w:rPr>
                <w:rFonts w:cstheme="minorHAnsi"/>
                <w:sz w:val="24"/>
                <w:szCs w:val="24"/>
              </w:rPr>
            </w:pPr>
            <w:r w:rsidRPr="00C316F8">
              <w:rPr>
                <w:rFonts w:cstheme="minorHAnsi"/>
                <w:sz w:val="24"/>
                <w:szCs w:val="24"/>
              </w:rPr>
              <w:t>2.07    2.2</w:t>
            </w:r>
          </w:p>
        </w:tc>
        <w:tc>
          <w:tcPr>
            <w:tcW w:w="0" w:type="auto"/>
          </w:tcPr>
          <w:p w14:paraId="635ED452" w14:textId="77777777" w:rsidR="00D961A3" w:rsidRPr="00C316F8" w:rsidRDefault="00D961A3" w:rsidP="00727B5B">
            <w:pPr>
              <w:jc w:val="both"/>
              <w:rPr>
                <w:rFonts w:cstheme="minorHAnsi"/>
                <w:sz w:val="24"/>
                <w:szCs w:val="24"/>
              </w:rPr>
            </w:pPr>
            <w:r w:rsidRPr="00C316F8">
              <w:rPr>
                <w:rFonts w:cstheme="minorHAnsi"/>
                <w:sz w:val="24"/>
                <w:szCs w:val="24"/>
              </w:rPr>
              <w:t>&lt; 0.0005</w:t>
            </w:r>
          </w:p>
        </w:tc>
      </w:tr>
      <w:tr w:rsidR="00D961A3" w:rsidRPr="00C316F8" w14:paraId="1291E60E" w14:textId="77777777" w:rsidTr="00727B5B">
        <w:trPr>
          <w:tblHeader/>
        </w:trPr>
        <w:tc>
          <w:tcPr>
            <w:tcW w:w="0" w:type="auto"/>
          </w:tcPr>
          <w:p w14:paraId="65EC3511" w14:textId="77777777" w:rsidR="00D961A3" w:rsidRPr="00C316F8" w:rsidRDefault="00D961A3" w:rsidP="00727B5B">
            <w:pPr>
              <w:jc w:val="both"/>
              <w:rPr>
                <w:rFonts w:cstheme="minorHAnsi"/>
                <w:bCs/>
                <w:sz w:val="24"/>
                <w:szCs w:val="24"/>
              </w:rPr>
            </w:pPr>
            <w:r w:rsidRPr="00C316F8">
              <w:rPr>
                <w:rFonts w:cstheme="minorHAnsi"/>
                <w:bCs/>
                <w:sz w:val="24"/>
                <w:szCs w:val="24"/>
              </w:rPr>
              <w:t>60-69</w:t>
            </w:r>
          </w:p>
        </w:tc>
        <w:tc>
          <w:tcPr>
            <w:tcW w:w="0" w:type="auto"/>
          </w:tcPr>
          <w:p w14:paraId="31BCC164" w14:textId="77777777" w:rsidR="00D961A3" w:rsidRPr="00C316F8" w:rsidRDefault="00D961A3" w:rsidP="00727B5B">
            <w:pPr>
              <w:jc w:val="both"/>
              <w:rPr>
                <w:rFonts w:cstheme="minorHAnsi"/>
                <w:sz w:val="24"/>
                <w:szCs w:val="24"/>
              </w:rPr>
            </w:pPr>
            <w:r w:rsidRPr="00C316F8">
              <w:rPr>
                <w:rFonts w:cstheme="minorHAnsi"/>
                <w:sz w:val="24"/>
                <w:szCs w:val="24"/>
              </w:rPr>
              <w:t>1.93</w:t>
            </w:r>
          </w:p>
        </w:tc>
        <w:tc>
          <w:tcPr>
            <w:tcW w:w="0" w:type="auto"/>
          </w:tcPr>
          <w:p w14:paraId="3153E89A" w14:textId="77777777" w:rsidR="00D961A3" w:rsidRPr="00C316F8" w:rsidRDefault="00D961A3" w:rsidP="00727B5B">
            <w:pPr>
              <w:jc w:val="both"/>
              <w:rPr>
                <w:rFonts w:cstheme="minorHAnsi"/>
                <w:sz w:val="24"/>
                <w:szCs w:val="24"/>
              </w:rPr>
            </w:pPr>
            <w:r w:rsidRPr="00C316F8">
              <w:rPr>
                <w:rFonts w:cstheme="minorHAnsi"/>
                <w:sz w:val="24"/>
                <w:szCs w:val="24"/>
              </w:rPr>
              <w:t>1.89    1.98</w:t>
            </w:r>
          </w:p>
        </w:tc>
        <w:tc>
          <w:tcPr>
            <w:tcW w:w="0" w:type="auto"/>
          </w:tcPr>
          <w:p w14:paraId="7B0F3C86" w14:textId="77777777" w:rsidR="00D961A3" w:rsidRPr="00C316F8" w:rsidRDefault="00D961A3" w:rsidP="00727B5B">
            <w:pPr>
              <w:jc w:val="both"/>
              <w:rPr>
                <w:rFonts w:cstheme="minorHAnsi"/>
                <w:sz w:val="24"/>
                <w:szCs w:val="24"/>
              </w:rPr>
            </w:pPr>
            <w:r w:rsidRPr="00C316F8">
              <w:rPr>
                <w:rFonts w:cstheme="minorHAnsi"/>
                <w:sz w:val="24"/>
                <w:szCs w:val="24"/>
              </w:rPr>
              <w:t>&lt; 0.0005</w:t>
            </w:r>
          </w:p>
        </w:tc>
      </w:tr>
      <w:tr w:rsidR="00D961A3" w:rsidRPr="00C316F8" w14:paraId="722D4316" w14:textId="77777777" w:rsidTr="00727B5B">
        <w:trPr>
          <w:tblHeader/>
        </w:trPr>
        <w:tc>
          <w:tcPr>
            <w:tcW w:w="0" w:type="auto"/>
          </w:tcPr>
          <w:p w14:paraId="023366DB" w14:textId="77777777" w:rsidR="00D961A3" w:rsidRPr="00C316F8" w:rsidRDefault="00D961A3" w:rsidP="00727B5B">
            <w:pPr>
              <w:jc w:val="both"/>
              <w:rPr>
                <w:rFonts w:cstheme="minorHAnsi"/>
                <w:bCs/>
                <w:sz w:val="24"/>
                <w:szCs w:val="24"/>
              </w:rPr>
            </w:pPr>
            <w:r w:rsidRPr="00C316F8">
              <w:rPr>
                <w:rFonts w:cstheme="minorHAnsi"/>
                <w:bCs/>
                <w:sz w:val="24"/>
                <w:szCs w:val="24"/>
              </w:rPr>
              <w:t>70-79</w:t>
            </w:r>
          </w:p>
        </w:tc>
        <w:tc>
          <w:tcPr>
            <w:tcW w:w="0" w:type="auto"/>
          </w:tcPr>
          <w:p w14:paraId="08FD82C7" w14:textId="77777777" w:rsidR="00D961A3" w:rsidRPr="00C316F8" w:rsidRDefault="00D961A3" w:rsidP="00727B5B">
            <w:pPr>
              <w:jc w:val="both"/>
              <w:rPr>
                <w:rFonts w:cstheme="minorHAnsi"/>
                <w:sz w:val="24"/>
                <w:szCs w:val="24"/>
              </w:rPr>
            </w:pPr>
            <w:r w:rsidRPr="00C316F8">
              <w:rPr>
                <w:rFonts w:cstheme="minorHAnsi"/>
                <w:sz w:val="24"/>
                <w:szCs w:val="24"/>
              </w:rPr>
              <w:t>1.87</w:t>
            </w:r>
          </w:p>
        </w:tc>
        <w:tc>
          <w:tcPr>
            <w:tcW w:w="0" w:type="auto"/>
          </w:tcPr>
          <w:p w14:paraId="008ECE03" w14:textId="77777777" w:rsidR="00D961A3" w:rsidRPr="00C316F8" w:rsidRDefault="00D961A3" w:rsidP="00727B5B">
            <w:pPr>
              <w:jc w:val="both"/>
              <w:rPr>
                <w:rFonts w:cstheme="minorHAnsi"/>
                <w:sz w:val="24"/>
                <w:szCs w:val="24"/>
              </w:rPr>
            </w:pPr>
            <w:r w:rsidRPr="00C316F8">
              <w:rPr>
                <w:rFonts w:cstheme="minorHAnsi"/>
                <w:sz w:val="24"/>
                <w:szCs w:val="24"/>
              </w:rPr>
              <w:t>1.83    1.91</w:t>
            </w:r>
          </w:p>
        </w:tc>
        <w:tc>
          <w:tcPr>
            <w:tcW w:w="0" w:type="auto"/>
          </w:tcPr>
          <w:p w14:paraId="0181F8AA" w14:textId="77777777" w:rsidR="00D961A3" w:rsidRPr="00C316F8" w:rsidRDefault="00D961A3" w:rsidP="00727B5B">
            <w:pPr>
              <w:jc w:val="both"/>
              <w:rPr>
                <w:rFonts w:cstheme="minorHAnsi"/>
                <w:sz w:val="24"/>
                <w:szCs w:val="24"/>
              </w:rPr>
            </w:pPr>
            <w:r w:rsidRPr="00C316F8">
              <w:rPr>
                <w:rFonts w:cstheme="minorHAnsi"/>
                <w:sz w:val="24"/>
                <w:szCs w:val="24"/>
              </w:rPr>
              <w:t>&lt; 0.0005</w:t>
            </w:r>
          </w:p>
        </w:tc>
      </w:tr>
      <w:tr w:rsidR="00D961A3" w:rsidRPr="00C316F8" w14:paraId="3B18B18D" w14:textId="77777777" w:rsidTr="00727B5B">
        <w:trPr>
          <w:tblHeader/>
        </w:trPr>
        <w:tc>
          <w:tcPr>
            <w:tcW w:w="0" w:type="auto"/>
          </w:tcPr>
          <w:p w14:paraId="4D73A3AB" w14:textId="77777777" w:rsidR="00D961A3" w:rsidRPr="00C316F8" w:rsidRDefault="00D961A3" w:rsidP="00727B5B">
            <w:pPr>
              <w:jc w:val="both"/>
              <w:rPr>
                <w:rFonts w:cstheme="minorHAnsi"/>
                <w:bCs/>
                <w:sz w:val="24"/>
                <w:szCs w:val="24"/>
              </w:rPr>
            </w:pPr>
            <w:r w:rsidRPr="00C316F8">
              <w:rPr>
                <w:rFonts w:cstheme="minorHAnsi"/>
                <w:bCs/>
                <w:sz w:val="24"/>
                <w:szCs w:val="24"/>
              </w:rPr>
              <w:t>&gt;= 80</w:t>
            </w:r>
          </w:p>
        </w:tc>
        <w:tc>
          <w:tcPr>
            <w:tcW w:w="0" w:type="auto"/>
          </w:tcPr>
          <w:p w14:paraId="685AC317" w14:textId="77777777" w:rsidR="00D961A3" w:rsidRPr="00C316F8" w:rsidRDefault="00D961A3" w:rsidP="00727B5B">
            <w:pPr>
              <w:jc w:val="both"/>
              <w:rPr>
                <w:rFonts w:cstheme="minorHAnsi"/>
                <w:sz w:val="24"/>
                <w:szCs w:val="24"/>
              </w:rPr>
            </w:pPr>
            <w:r w:rsidRPr="00C316F8">
              <w:rPr>
                <w:rFonts w:cstheme="minorHAnsi"/>
                <w:sz w:val="24"/>
                <w:szCs w:val="24"/>
              </w:rPr>
              <w:t>1.82</w:t>
            </w:r>
          </w:p>
        </w:tc>
        <w:tc>
          <w:tcPr>
            <w:tcW w:w="0" w:type="auto"/>
          </w:tcPr>
          <w:p w14:paraId="7CFB3FBD" w14:textId="77777777" w:rsidR="00D961A3" w:rsidRPr="00C316F8" w:rsidRDefault="00D961A3" w:rsidP="00727B5B">
            <w:pPr>
              <w:jc w:val="both"/>
              <w:rPr>
                <w:rFonts w:cstheme="minorHAnsi"/>
                <w:sz w:val="24"/>
                <w:szCs w:val="24"/>
              </w:rPr>
            </w:pPr>
            <w:r w:rsidRPr="00C316F8">
              <w:rPr>
                <w:rFonts w:cstheme="minorHAnsi"/>
                <w:sz w:val="24"/>
                <w:szCs w:val="24"/>
              </w:rPr>
              <w:t>1.78    1.86</w:t>
            </w:r>
          </w:p>
        </w:tc>
        <w:tc>
          <w:tcPr>
            <w:tcW w:w="0" w:type="auto"/>
          </w:tcPr>
          <w:p w14:paraId="4DC93590" w14:textId="77777777" w:rsidR="00D961A3" w:rsidRPr="00C316F8" w:rsidRDefault="00D961A3" w:rsidP="00727B5B">
            <w:pPr>
              <w:jc w:val="both"/>
              <w:rPr>
                <w:rFonts w:cstheme="minorHAnsi"/>
                <w:sz w:val="24"/>
                <w:szCs w:val="24"/>
              </w:rPr>
            </w:pPr>
            <w:r w:rsidRPr="00C316F8">
              <w:rPr>
                <w:rFonts w:cstheme="minorHAnsi"/>
                <w:sz w:val="24"/>
                <w:szCs w:val="24"/>
              </w:rPr>
              <w:t>&lt; 0.0005</w:t>
            </w:r>
          </w:p>
        </w:tc>
      </w:tr>
      <w:tr w:rsidR="00D961A3" w:rsidRPr="00C316F8" w14:paraId="2F6C19FF" w14:textId="77777777" w:rsidTr="00727B5B">
        <w:trPr>
          <w:tblHeader/>
        </w:trPr>
        <w:tc>
          <w:tcPr>
            <w:tcW w:w="0" w:type="auto"/>
            <w:gridSpan w:val="4"/>
          </w:tcPr>
          <w:p w14:paraId="3D6038B4" w14:textId="77777777" w:rsidR="00D961A3" w:rsidRPr="00C316F8" w:rsidRDefault="00D961A3" w:rsidP="00727B5B">
            <w:pPr>
              <w:jc w:val="both"/>
              <w:rPr>
                <w:rFonts w:cstheme="minorHAnsi"/>
                <w:sz w:val="24"/>
                <w:szCs w:val="24"/>
              </w:rPr>
            </w:pPr>
          </w:p>
        </w:tc>
      </w:tr>
      <w:tr w:rsidR="00D961A3" w:rsidRPr="00C316F8" w14:paraId="15858D7C" w14:textId="77777777" w:rsidTr="00727B5B">
        <w:trPr>
          <w:tblHeader/>
        </w:trPr>
        <w:tc>
          <w:tcPr>
            <w:tcW w:w="0" w:type="auto"/>
          </w:tcPr>
          <w:p w14:paraId="612E25D9" w14:textId="77777777" w:rsidR="00D961A3" w:rsidRPr="00C316F8" w:rsidRDefault="00D961A3" w:rsidP="00727B5B">
            <w:pPr>
              <w:jc w:val="both"/>
              <w:rPr>
                <w:rFonts w:cstheme="minorHAnsi"/>
                <w:bCs/>
                <w:sz w:val="24"/>
                <w:szCs w:val="24"/>
              </w:rPr>
            </w:pPr>
            <w:r w:rsidRPr="00C316F8">
              <w:rPr>
                <w:rFonts w:cstheme="minorHAnsi"/>
                <w:bCs/>
                <w:sz w:val="24"/>
                <w:szCs w:val="24"/>
              </w:rPr>
              <w:t>ZOMAC</w:t>
            </w:r>
          </w:p>
          <w:p w14:paraId="426EEA58" w14:textId="77777777" w:rsidR="00D961A3" w:rsidRPr="00C316F8" w:rsidRDefault="00D961A3" w:rsidP="00727B5B">
            <w:pPr>
              <w:jc w:val="both"/>
              <w:rPr>
                <w:rFonts w:cstheme="minorHAnsi"/>
                <w:bCs/>
                <w:sz w:val="24"/>
                <w:szCs w:val="24"/>
              </w:rPr>
            </w:pPr>
            <w:r w:rsidRPr="00C316F8">
              <w:rPr>
                <w:rFonts w:cstheme="minorHAnsi"/>
                <w:bCs/>
                <w:sz w:val="24"/>
                <w:szCs w:val="24"/>
              </w:rPr>
              <w:t>(</w:t>
            </w:r>
            <w:r w:rsidRPr="00C316F8">
              <w:rPr>
                <w:rFonts w:cstheme="minorHAnsi"/>
                <w:sz w:val="24"/>
                <w:szCs w:val="24"/>
              </w:rPr>
              <w:t>Non-ZOMAC as the reference group</w:t>
            </w:r>
            <w:r w:rsidRPr="00C316F8">
              <w:rPr>
                <w:rFonts w:cstheme="minorHAnsi"/>
                <w:bCs/>
                <w:sz w:val="24"/>
                <w:szCs w:val="24"/>
              </w:rPr>
              <w:t>)</w:t>
            </w:r>
          </w:p>
        </w:tc>
        <w:tc>
          <w:tcPr>
            <w:tcW w:w="0" w:type="auto"/>
          </w:tcPr>
          <w:p w14:paraId="34211D1E" w14:textId="77777777" w:rsidR="00D961A3" w:rsidRPr="00C316F8" w:rsidRDefault="00D961A3" w:rsidP="00727B5B">
            <w:pPr>
              <w:jc w:val="both"/>
              <w:rPr>
                <w:rFonts w:cstheme="minorHAnsi"/>
                <w:sz w:val="24"/>
                <w:szCs w:val="24"/>
              </w:rPr>
            </w:pPr>
            <w:r w:rsidRPr="00C316F8">
              <w:rPr>
                <w:rFonts w:cstheme="minorHAnsi"/>
                <w:sz w:val="24"/>
                <w:szCs w:val="24"/>
              </w:rPr>
              <w:t>1.69</w:t>
            </w:r>
          </w:p>
        </w:tc>
        <w:tc>
          <w:tcPr>
            <w:tcW w:w="0" w:type="auto"/>
          </w:tcPr>
          <w:p w14:paraId="7566D7FE" w14:textId="77777777" w:rsidR="00D961A3" w:rsidRPr="00C316F8" w:rsidRDefault="00D961A3" w:rsidP="00727B5B">
            <w:pPr>
              <w:jc w:val="both"/>
              <w:rPr>
                <w:rFonts w:cstheme="minorHAnsi"/>
                <w:sz w:val="24"/>
                <w:szCs w:val="24"/>
              </w:rPr>
            </w:pPr>
            <w:r w:rsidRPr="00C316F8">
              <w:rPr>
                <w:rFonts w:cstheme="minorHAnsi"/>
                <w:sz w:val="24"/>
                <w:szCs w:val="24"/>
              </w:rPr>
              <w:t>1.66   1.723</w:t>
            </w:r>
          </w:p>
        </w:tc>
        <w:tc>
          <w:tcPr>
            <w:tcW w:w="0" w:type="auto"/>
          </w:tcPr>
          <w:p w14:paraId="05793226" w14:textId="77777777" w:rsidR="00D961A3" w:rsidRPr="00C316F8" w:rsidRDefault="00D961A3" w:rsidP="00727B5B">
            <w:pPr>
              <w:jc w:val="both"/>
              <w:rPr>
                <w:rFonts w:cstheme="minorHAnsi"/>
                <w:sz w:val="24"/>
                <w:szCs w:val="24"/>
              </w:rPr>
            </w:pPr>
            <w:r w:rsidRPr="00C316F8">
              <w:rPr>
                <w:rFonts w:cstheme="minorHAnsi"/>
                <w:sz w:val="24"/>
                <w:szCs w:val="24"/>
              </w:rPr>
              <w:t>&lt; 0.0005</w:t>
            </w:r>
          </w:p>
        </w:tc>
      </w:tr>
      <w:tr w:rsidR="00D961A3" w:rsidRPr="00C316F8" w14:paraId="10BE8293" w14:textId="77777777" w:rsidTr="00727B5B">
        <w:trPr>
          <w:tblHeader/>
        </w:trPr>
        <w:tc>
          <w:tcPr>
            <w:tcW w:w="0" w:type="auto"/>
          </w:tcPr>
          <w:p w14:paraId="3F9191EF" w14:textId="77777777" w:rsidR="00D961A3" w:rsidRPr="00C316F8" w:rsidRDefault="00D961A3" w:rsidP="00727B5B">
            <w:pPr>
              <w:jc w:val="both"/>
              <w:rPr>
                <w:rFonts w:cstheme="minorHAnsi"/>
                <w:bCs/>
                <w:sz w:val="24"/>
                <w:szCs w:val="24"/>
              </w:rPr>
            </w:pPr>
            <w:r w:rsidRPr="00C316F8">
              <w:rPr>
                <w:rFonts w:cstheme="minorHAnsi"/>
                <w:bCs/>
                <w:sz w:val="24"/>
                <w:szCs w:val="24"/>
              </w:rPr>
              <w:t>PDET</w:t>
            </w:r>
          </w:p>
          <w:p w14:paraId="4E984707" w14:textId="77777777" w:rsidR="00D961A3" w:rsidRPr="00C316F8" w:rsidRDefault="00D961A3" w:rsidP="00727B5B">
            <w:pPr>
              <w:jc w:val="both"/>
              <w:rPr>
                <w:rFonts w:cstheme="minorHAnsi"/>
                <w:bCs/>
                <w:sz w:val="24"/>
                <w:szCs w:val="24"/>
              </w:rPr>
            </w:pPr>
            <w:r w:rsidRPr="00C316F8">
              <w:rPr>
                <w:rFonts w:cstheme="minorHAnsi"/>
                <w:bCs/>
                <w:sz w:val="24"/>
                <w:szCs w:val="24"/>
              </w:rPr>
              <w:t>(</w:t>
            </w:r>
            <w:r w:rsidRPr="00C316F8">
              <w:rPr>
                <w:rFonts w:cstheme="minorHAnsi"/>
                <w:sz w:val="24"/>
                <w:szCs w:val="24"/>
              </w:rPr>
              <w:t>Non-PDET as the reference group</w:t>
            </w:r>
            <w:r w:rsidRPr="00C316F8">
              <w:rPr>
                <w:rFonts w:cstheme="minorHAnsi"/>
                <w:bCs/>
                <w:sz w:val="24"/>
                <w:szCs w:val="24"/>
              </w:rPr>
              <w:t>)</w:t>
            </w:r>
          </w:p>
        </w:tc>
        <w:tc>
          <w:tcPr>
            <w:tcW w:w="0" w:type="auto"/>
          </w:tcPr>
          <w:p w14:paraId="42E9C324" w14:textId="77777777" w:rsidR="00D961A3" w:rsidRPr="00C316F8" w:rsidRDefault="00D961A3" w:rsidP="00727B5B">
            <w:pPr>
              <w:jc w:val="both"/>
              <w:rPr>
                <w:rFonts w:cstheme="minorHAnsi"/>
                <w:sz w:val="24"/>
                <w:szCs w:val="24"/>
              </w:rPr>
            </w:pPr>
            <w:r w:rsidRPr="00C316F8">
              <w:rPr>
                <w:rFonts w:cstheme="minorHAnsi"/>
                <w:sz w:val="24"/>
                <w:szCs w:val="24"/>
              </w:rPr>
              <w:t>1.47</w:t>
            </w:r>
          </w:p>
        </w:tc>
        <w:tc>
          <w:tcPr>
            <w:tcW w:w="0" w:type="auto"/>
          </w:tcPr>
          <w:p w14:paraId="1CF00FA0" w14:textId="77777777" w:rsidR="00D961A3" w:rsidRPr="00C316F8" w:rsidRDefault="00D961A3" w:rsidP="00727B5B">
            <w:pPr>
              <w:jc w:val="both"/>
              <w:rPr>
                <w:rFonts w:cstheme="minorHAnsi"/>
                <w:sz w:val="24"/>
                <w:szCs w:val="24"/>
              </w:rPr>
            </w:pPr>
            <w:r w:rsidRPr="00C316F8">
              <w:rPr>
                <w:rFonts w:cstheme="minorHAnsi"/>
                <w:sz w:val="24"/>
                <w:szCs w:val="24"/>
              </w:rPr>
              <w:t>1.44   1.49</w:t>
            </w:r>
          </w:p>
        </w:tc>
        <w:tc>
          <w:tcPr>
            <w:tcW w:w="0" w:type="auto"/>
          </w:tcPr>
          <w:p w14:paraId="409434E8" w14:textId="77777777" w:rsidR="00D961A3" w:rsidRPr="00C316F8" w:rsidRDefault="00D961A3" w:rsidP="00727B5B">
            <w:pPr>
              <w:jc w:val="both"/>
              <w:rPr>
                <w:rFonts w:cstheme="minorHAnsi"/>
                <w:sz w:val="24"/>
                <w:szCs w:val="24"/>
              </w:rPr>
            </w:pPr>
            <w:r w:rsidRPr="00C316F8">
              <w:rPr>
                <w:rFonts w:cstheme="minorHAnsi"/>
                <w:sz w:val="24"/>
                <w:szCs w:val="24"/>
              </w:rPr>
              <w:t>&lt; 0.0005</w:t>
            </w:r>
          </w:p>
        </w:tc>
      </w:tr>
      <w:tr w:rsidR="00D961A3" w:rsidRPr="00C316F8" w14:paraId="4C0ABE67" w14:textId="77777777" w:rsidTr="00727B5B">
        <w:trPr>
          <w:tblHeader/>
        </w:trPr>
        <w:tc>
          <w:tcPr>
            <w:tcW w:w="0" w:type="auto"/>
          </w:tcPr>
          <w:p w14:paraId="77A3F028" w14:textId="77777777" w:rsidR="00D961A3" w:rsidRPr="00C316F8" w:rsidRDefault="00D961A3" w:rsidP="00727B5B">
            <w:pPr>
              <w:jc w:val="both"/>
              <w:rPr>
                <w:rFonts w:cstheme="minorHAnsi"/>
                <w:bCs/>
                <w:sz w:val="24"/>
                <w:szCs w:val="24"/>
              </w:rPr>
            </w:pPr>
            <w:r w:rsidRPr="00C316F8">
              <w:rPr>
                <w:rFonts w:cstheme="minorHAnsi"/>
                <w:bCs/>
                <w:sz w:val="24"/>
                <w:szCs w:val="24"/>
              </w:rPr>
              <w:t>AFROCOLOMBIANS</w:t>
            </w:r>
          </w:p>
          <w:p w14:paraId="6741158E" w14:textId="77777777" w:rsidR="00D961A3" w:rsidRPr="00C316F8" w:rsidRDefault="00D961A3" w:rsidP="00727B5B">
            <w:pPr>
              <w:jc w:val="both"/>
              <w:rPr>
                <w:rFonts w:cstheme="minorHAnsi"/>
                <w:bCs/>
                <w:sz w:val="24"/>
                <w:szCs w:val="24"/>
              </w:rPr>
            </w:pPr>
            <w:r w:rsidRPr="00C316F8">
              <w:rPr>
                <w:rFonts w:cstheme="minorHAnsi"/>
                <w:bCs/>
                <w:sz w:val="24"/>
                <w:szCs w:val="24"/>
              </w:rPr>
              <w:t>(</w:t>
            </w:r>
            <w:r w:rsidRPr="00C316F8">
              <w:rPr>
                <w:rFonts w:cstheme="minorHAnsi"/>
                <w:sz w:val="24"/>
                <w:szCs w:val="24"/>
              </w:rPr>
              <w:t>White-Mestizo as the reference group</w:t>
            </w:r>
            <w:r w:rsidRPr="00C316F8">
              <w:rPr>
                <w:rFonts w:cstheme="minorHAnsi"/>
                <w:bCs/>
                <w:sz w:val="24"/>
                <w:szCs w:val="24"/>
              </w:rPr>
              <w:t>)</w:t>
            </w:r>
          </w:p>
        </w:tc>
        <w:tc>
          <w:tcPr>
            <w:tcW w:w="0" w:type="auto"/>
          </w:tcPr>
          <w:p w14:paraId="46E4DF7F" w14:textId="77777777" w:rsidR="00D961A3" w:rsidRPr="00C316F8" w:rsidRDefault="00D961A3" w:rsidP="00727B5B">
            <w:pPr>
              <w:jc w:val="both"/>
              <w:rPr>
                <w:rFonts w:cstheme="minorHAnsi"/>
                <w:sz w:val="24"/>
                <w:szCs w:val="24"/>
              </w:rPr>
            </w:pPr>
            <w:r w:rsidRPr="00C316F8">
              <w:rPr>
                <w:rFonts w:cstheme="minorHAnsi"/>
                <w:sz w:val="24"/>
                <w:szCs w:val="24"/>
              </w:rPr>
              <w:t>1.14</w:t>
            </w:r>
          </w:p>
        </w:tc>
        <w:tc>
          <w:tcPr>
            <w:tcW w:w="0" w:type="auto"/>
          </w:tcPr>
          <w:p w14:paraId="555EEF17" w14:textId="77777777" w:rsidR="00D961A3" w:rsidRPr="00C316F8" w:rsidRDefault="00D961A3" w:rsidP="00727B5B">
            <w:pPr>
              <w:jc w:val="both"/>
              <w:rPr>
                <w:rFonts w:cstheme="minorHAnsi"/>
                <w:sz w:val="24"/>
                <w:szCs w:val="24"/>
              </w:rPr>
            </w:pPr>
            <w:r w:rsidRPr="00C316F8">
              <w:rPr>
                <w:rFonts w:cstheme="minorHAnsi"/>
                <w:sz w:val="24"/>
                <w:szCs w:val="24"/>
              </w:rPr>
              <w:t>1.11   1.18</w:t>
            </w:r>
          </w:p>
        </w:tc>
        <w:tc>
          <w:tcPr>
            <w:tcW w:w="0" w:type="auto"/>
          </w:tcPr>
          <w:p w14:paraId="36072B09" w14:textId="77777777" w:rsidR="00D961A3" w:rsidRPr="00C316F8" w:rsidRDefault="00D961A3" w:rsidP="00727B5B">
            <w:pPr>
              <w:jc w:val="both"/>
              <w:rPr>
                <w:rFonts w:cstheme="minorHAnsi"/>
                <w:sz w:val="24"/>
                <w:szCs w:val="24"/>
              </w:rPr>
            </w:pPr>
            <w:r w:rsidRPr="00C316F8">
              <w:rPr>
                <w:rFonts w:cstheme="minorHAnsi"/>
                <w:sz w:val="24"/>
                <w:szCs w:val="24"/>
              </w:rPr>
              <w:t>&lt; 0.0005</w:t>
            </w:r>
          </w:p>
        </w:tc>
      </w:tr>
      <w:tr w:rsidR="00D961A3" w:rsidRPr="00C316F8" w14:paraId="69D2E45B" w14:textId="77777777" w:rsidTr="00727B5B">
        <w:trPr>
          <w:tblHeader/>
        </w:trPr>
        <w:tc>
          <w:tcPr>
            <w:tcW w:w="0" w:type="auto"/>
          </w:tcPr>
          <w:p w14:paraId="53374FDB" w14:textId="77777777" w:rsidR="00D961A3" w:rsidRPr="00C316F8" w:rsidRDefault="00D961A3" w:rsidP="00727B5B">
            <w:pPr>
              <w:jc w:val="both"/>
              <w:rPr>
                <w:rFonts w:cstheme="minorHAnsi"/>
                <w:bCs/>
                <w:sz w:val="24"/>
                <w:szCs w:val="24"/>
              </w:rPr>
            </w:pPr>
            <w:r w:rsidRPr="00C316F8">
              <w:rPr>
                <w:rFonts w:cstheme="minorHAnsi"/>
                <w:bCs/>
                <w:sz w:val="24"/>
                <w:szCs w:val="24"/>
              </w:rPr>
              <w:t>INDIGENOUS</w:t>
            </w:r>
          </w:p>
          <w:p w14:paraId="0BFF679E" w14:textId="77777777" w:rsidR="00D961A3" w:rsidRPr="00C316F8" w:rsidRDefault="00D961A3" w:rsidP="00727B5B">
            <w:pPr>
              <w:jc w:val="both"/>
              <w:rPr>
                <w:rFonts w:cstheme="minorHAnsi"/>
                <w:bCs/>
                <w:sz w:val="24"/>
                <w:szCs w:val="24"/>
              </w:rPr>
            </w:pPr>
            <w:r w:rsidRPr="00C316F8">
              <w:rPr>
                <w:rFonts w:cstheme="minorHAnsi"/>
                <w:bCs/>
                <w:sz w:val="24"/>
                <w:szCs w:val="24"/>
              </w:rPr>
              <w:t>(</w:t>
            </w:r>
            <w:r w:rsidRPr="00C316F8">
              <w:rPr>
                <w:rFonts w:cstheme="minorHAnsi"/>
                <w:sz w:val="24"/>
                <w:szCs w:val="24"/>
              </w:rPr>
              <w:t>White-Mestizo as the reference group</w:t>
            </w:r>
            <w:r w:rsidRPr="00C316F8">
              <w:rPr>
                <w:rFonts w:cstheme="minorHAnsi"/>
                <w:bCs/>
                <w:sz w:val="24"/>
                <w:szCs w:val="24"/>
              </w:rPr>
              <w:t>)</w:t>
            </w:r>
          </w:p>
        </w:tc>
        <w:tc>
          <w:tcPr>
            <w:tcW w:w="0" w:type="auto"/>
          </w:tcPr>
          <w:p w14:paraId="6036D0D1" w14:textId="77777777" w:rsidR="00D961A3" w:rsidRPr="00C316F8" w:rsidRDefault="00D961A3" w:rsidP="00727B5B">
            <w:pPr>
              <w:jc w:val="both"/>
              <w:rPr>
                <w:rFonts w:cstheme="minorHAnsi"/>
                <w:sz w:val="24"/>
                <w:szCs w:val="24"/>
              </w:rPr>
            </w:pPr>
            <w:r w:rsidRPr="00C316F8">
              <w:rPr>
                <w:rFonts w:cstheme="minorHAnsi"/>
                <w:sz w:val="24"/>
                <w:szCs w:val="24"/>
              </w:rPr>
              <w:t>1.22</w:t>
            </w:r>
          </w:p>
        </w:tc>
        <w:tc>
          <w:tcPr>
            <w:tcW w:w="0" w:type="auto"/>
          </w:tcPr>
          <w:p w14:paraId="31F5D983" w14:textId="77777777" w:rsidR="00D961A3" w:rsidRPr="00C316F8" w:rsidRDefault="00D961A3" w:rsidP="00727B5B">
            <w:pPr>
              <w:jc w:val="both"/>
              <w:rPr>
                <w:rFonts w:cstheme="minorHAnsi"/>
                <w:sz w:val="24"/>
                <w:szCs w:val="24"/>
              </w:rPr>
            </w:pPr>
            <w:r w:rsidRPr="00C316F8">
              <w:rPr>
                <w:rFonts w:cstheme="minorHAnsi"/>
                <w:sz w:val="24"/>
                <w:szCs w:val="24"/>
              </w:rPr>
              <w:t>1.17   1.28</w:t>
            </w:r>
          </w:p>
        </w:tc>
        <w:tc>
          <w:tcPr>
            <w:tcW w:w="0" w:type="auto"/>
          </w:tcPr>
          <w:p w14:paraId="3FA64C88" w14:textId="77777777" w:rsidR="00D961A3" w:rsidRPr="00C316F8" w:rsidRDefault="00D961A3" w:rsidP="00727B5B">
            <w:pPr>
              <w:jc w:val="both"/>
              <w:rPr>
                <w:rFonts w:cstheme="minorHAnsi"/>
                <w:sz w:val="24"/>
                <w:szCs w:val="24"/>
              </w:rPr>
            </w:pPr>
            <w:r w:rsidRPr="00C316F8">
              <w:rPr>
                <w:rFonts w:cstheme="minorHAnsi"/>
                <w:sz w:val="24"/>
                <w:szCs w:val="24"/>
              </w:rPr>
              <w:t>&lt; 0.0005</w:t>
            </w:r>
          </w:p>
        </w:tc>
      </w:tr>
    </w:tbl>
    <w:p w14:paraId="7473F1D2" w14:textId="77777777" w:rsidR="003B4F37" w:rsidRPr="00C316F8" w:rsidRDefault="003B4F37" w:rsidP="003B4F37">
      <w:pPr>
        <w:jc w:val="both"/>
        <w:rPr>
          <w:rFonts w:eastAsia="Calibri" w:cstheme="minorHAnsi"/>
          <w:sz w:val="24"/>
          <w:szCs w:val="24"/>
          <w:lang w:val="es-CO"/>
        </w:rPr>
      </w:pPr>
      <w:r w:rsidRPr="00C316F8">
        <w:rPr>
          <w:rFonts w:eastAsia="Calibri" w:cstheme="minorHAnsi"/>
          <w:sz w:val="24"/>
          <w:szCs w:val="24"/>
          <w:lang w:val="es-CO"/>
        </w:rPr>
        <w:t>Fuente, elaboración propia.</w:t>
      </w:r>
    </w:p>
    <w:p w14:paraId="4A6C7334" w14:textId="77777777" w:rsidR="00D961A3" w:rsidRPr="00C316F8" w:rsidRDefault="00D961A3" w:rsidP="00D961A3">
      <w:pPr>
        <w:jc w:val="both"/>
        <w:rPr>
          <w:rFonts w:cstheme="minorHAnsi"/>
          <w:bCs/>
          <w:sz w:val="24"/>
          <w:szCs w:val="24"/>
        </w:rPr>
      </w:pPr>
    </w:p>
    <w:p w14:paraId="3D8C7B51" w14:textId="112CD85A"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La Tabla </w:t>
      </w:r>
      <w:r w:rsidR="003B4F37" w:rsidRPr="00C316F8">
        <w:rPr>
          <w:rFonts w:cstheme="minorHAnsi"/>
          <w:sz w:val="24"/>
          <w:szCs w:val="24"/>
          <w:lang w:val="es-CO"/>
        </w:rPr>
        <w:t>13</w:t>
      </w:r>
      <w:r w:rsidRPr="00C316F8">
        <w:rPr>
          <w:rFonts w:cstheme="minorHAnsi"/>
          <w:sz w:val="24"/>
          <w:szCs w:val="24"/>
          <w:lang w:val="es-CO"/>
        </w:rPr>
        <w:t xml:space="preserve"> muestra las razones de momios (OR) estimadas a partir del modelo de regresión logística multinivel, el cual incorpora variables a nivel individual y territorial. Se observa una variación regional entre municipios, con una mediana de la razón de momios (MOR) de 1,37 (IC 95%: 1,34–1,5; p &lt; 0,0005).</w:t>
      </w:r>
    </w:p>
    <w:p w14:paraId="51639BB4" w14:textId="77777777" w:rsidR="00D961A3" w:rsidRPr="00C316F8" w:rsidRDefault="00D961A3" w:rsidP="00D961A3">
      <w:pPr>
        <w:jc w:val="both"/>
        <w:rPr>
          <w:rFonts w:cstheme="minorHAnsi"/>
          <w:sz w:val="24"/>
          <w:szCs w:val="24"/>
          <w:lang w:val="es-CO"/>
        </w:rPr>
      </w:pPr>
    </w:p>
    <w:p w14:paraId="66A257FC" w14:textId="77777777" w:rsidR="002802E5" w:rsidRPr="00C316F8" w:rsidRDefault="002802E5" w:rsidP="00D961A3">
      <w:pPr>
        <w:pStyle w:val="Descripcin"/>
        <w:jc w:val="both"/>
        <w:rPr>
          <w:rFonts w:asciiTheme="minorHAnsi" w:hAnsiTheme="minorHAnsi" w:cstheme="minorHAnsi"/>
          <w:b/>
          <w:bCs/>
          <w:i w:val="0"/>
          <w:iCs w:val="0"/>
          <w:color w:val="auto"/>
          <w:sz w:val="24"/>
          <w:szCs w:val="24"/>
        </w:rPr>
      </w:pPr>
    </w:p>
    <w:p w14:paraId="5D4F2828" w14:textId="77777777" w:rsidR="002802E5" w:rsidRPr="00C316F8" w:rsidRDefault="002802E5" w:rsidP="00D961A3">
      <w:pPr>
        <w:pStyle w:val="Descripcin"/>
        <w:jc w:val="both"/>
        <w:rPr>
          <w:rFonts w:asciiTheme="minorHAnsi" w:hAnsiTheme="minorHAnsi" w:cstheme="minorHAnsi"/>
          <w:b/>
          <w:bCs/>
          <w:i w:val="0"/>
          <w:iCs w:val="0"/>
          <w:color w:val="auto"/>
          <w:sz w:val="24"/>
          <w:szCs w:val="24"/>
        </w:rPr>
      </w:pPr>
    </w:p>
    <w:p w14:paraId="4827F464" w14:textId="77777777" w:rsidR="002802E5" w:rsidRPr="00C316F8" w:rsidRDefault="002802E5" w:rsidP="00D961A3">
      <w:pPr>
        <w:pStyle w:val="Descripcin"/>
        <w:jc w:val="both"/>
        <w:rPr>
          <w:rFonts w:asciiTheme="minorHAnsi" w:hAnsiTheme="minorHAnsi" w:cstheme="minorHAnsi"/>
          <w:b/>
          <w:bCs/>
          <w:i w:val="0"/>
          <w:iCs w:val="0"/>
          <w:color w:val="auto"/>
          <w:sz w:val="24"/>
          <w:szCs w:val="24"/>
        </w:rPr>
      </w:pPr>
    </w:p>
    <w:p w14:paraId="494B4BB9" w14:textId="77777777" w:rsidR="002802E5" w:rsidRPr="00C316F8" w:rsidRDefault="002802E5" w:rsidP="00D961A3">
      <w:pPr>
        <w:pStyle w:val="Descripcin"/>
        <w:jc w:val="both"/>
        <w:rPr>
          <w:rFonts w:asciiTheme="minorHAnsi" w:hAnsiTheme="minorHAnsi" w:cstheme="minorHAnsi"/>
          <w:b/>
          <w:bCs/>
          <w:i w:val="0"/>
          <w:iCs w:val="0"/>
          <w:color w:val="auto"/>
          <w:sz w:val="24"/>
          <w:szCs w:val="24"/>
        </w:rPr>
      </w:pPr>
    </w:p>
    <w:p w14:paraId="16546573" w14:textId="77777777" w:rsidR="002802E5" w:rsidRPr="00C316F8" w:rsidRDefault="002802E5" w:rsidP="00D961A3">
      <w:pPr>
        <w:pStyle w:val="Descripcin"/>
        <w:jc w:val="both"/>
        <w:rPr>
          <w:rFonts w:asciiTheme="minorHAnsi" w:hAnsiTheme="minorHAnsi" w:cstheme="minorHAnsi"/>
          <w:b/>
          <w:bCs/>
          <w:i w:val="0"/>
          <w:iCs w:val="0"/>
          <w:color w:val="auto"/>
          <w:sz w:val="24"/>
          <w:szCs w:val="24"/>
        </w:rPr>
      </w:pPr>
    </w:p>
    <w:p w14:paraId="75593AF4" w14:textId="10C4C67F" w:rsidR="00D961A3" w:rsidRPr="00C316F8" w:rsidRDefault="00D961A3" w:rsidP="00D961A3">
      <w:pPr>
        <w:pStyle w:val="Descripcin"/>
        <w:jc w:val="both"/>
        <w:rPr>
          <w:rFonts w:asciiTheme="minorHAnsi" w:hAnsiTheme="minorHAnsi" w:cstheme="minorHAnsi"/>
          <w:b/>
          <w:bCs/>
          <w:i w:val="0"/>
          <w:iCs w:val="0"/>
          <w:color w:val="auto"/>
          <w:sz w:val="24"/>
          <w:szCs w:val="24"/>
        </w:rPr>
      </w:pPr>
      <w:bookmarkStart w:id="76" w:name="_Toc229834701"/>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13</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Análisis multinivel para determinar el riesgo de variables individuales y territoriales sobre la mortalidad por COVID-19. Colombia, 2020-2022</w:t>
      </w:r>
      <w:bookmarkEnd w:id="76"/>
    </w:p>
    <w:p w14:paraId="7B37986D" w14:textId="77777777" w:rsidR="00D961A3" w:rsidRPr="00C316F8" w:rsidRDefault="00D961A3" w:rsidP="00D961A3">
      <w:pPr>
        <w:jc w:val="both"/>
        <w:rPr>
          <w:rFonts w:cstheme="minorHAnsi"/>
          <w:bCs/>
          <w:sz w:val="24"/>
          <w:szCs w:val="24"/>
          <w:lang w:val="es-CO"/>
        </w:rPr>
      </w:pPr>
    </w:p>
    <w:tbl>
      <w:tblPr>
        <w:tblStyle w:val="Tablaconcuadrcula"/>
        <w:tblW w:w="0" w:type="auto"/>
        <w:tblLook w:val="04A0" w:firstRow="1" w:lastRow="0" w:firstColumn="1" w:lastColumn="0" w:noHBand="0" w:noVBand="1"/>
      </w:tblPr>
      <w:tblGrid>
        <w:gridCol w:w="4627"/>
        <w:gridCol w:w="1250"/>
        <w:gridCol w:w="1030"/>
        <w:gridCol w:w="1921"/>
      </w:tblGrid>
      <w:tr w:rsidR="00D961A3" w:rsidRPr="00C316F8" w14:paraId="7EA961BD" w14:textId="77777777" w:rsidTr="00727B5B">
        <w:tc>
          <w:tcPr>
            <w:tcW w:w="0" w:type="auto"/>
            <w:gridSpan w:val="4"/>
          </w:tcPr>
          <w:p w14:paraId="1EDF7C1F" w14:textId="77777777" w:rsidR="00D961A3" w:rsidRPr="00C316F8" w:rsidRDefault="00D961A3" w:rsidP="00727B5B">
            <w:pPr>
              <w:jc w:val="both"/>
              <w:rPr>
                <w:rFonts w:cstheme="minorHAnsi"/>
                <w:b/>
                <w:sz w:val="24"/>
                <w:szCs w:val="24"/>
              </w:rPr>
            </w:pPr>
            <w:r w:rsidRPr="00C316F8">
              <w:rPr>
                <w:rFonts w:cstheme="minorHAnsi"/>
                <w:b/>
                <w:sz w:val="24"/>
                <w:szCs w:val="24"/>
              </w:rPr>
              <w:lastRenderedPageBreak/>
              <w:t>INDIVIDUAL VARIABLE</w:t>
            </w:r>
          </w:p>
        </w:tc>
      </w:tr>
      <w:tr w:rsidR="00D961A3" w:rsidRPr="00C316F8" w14:paraId="3242EFDE" w14:textId="77777777" w:rsidTr="00727B5B">
        <w:tc>
          <w:tcPr>
            <w:tcW w:w="0" w:type="auto"/>
          </w:tcPr>
          <w:p w14:paraId="43177D81" w14:textId="77777777" w:rsidR="00D961A3" w:rsidRPr="00C316F8" w:rsidRDefault="00D961A3" w:rsidP="00727B5B">
            <w:pPr>
              <w:jc w:val="both"/>
              <w:rPr>
                <w:rFonts w:eastAsia="Times New Roman" w:cstheme="minorHAnsi"/>
                <w:bCs/>
                <w:sz w:val="24"/>
                <w:szCs w:val="24"/>
                <w:lang w:eastAsia="es-CO"/>
              </w:rPr>
            </w:pPr>
          </w:p>
        </w:tc>
        <w:tc>
          <w:tcPr>
            <w:tcW w:w="0" w:type="auto"/>
          </w:tcPr>
          <w:p w14:paraId="7736A2CA" w14:textId="77777777" w:rsidR="00D961A3" w:rsidRPr="00C316F8" w:rsidRDefault="00D961A3" w:rsidP="00727B5B">
            <w:pPr>
              <w:jc w:val="both"/>
              <w:rPr>
                <w:rFonts w:cstheme="minorHAnsi"/>
                <w:bCs/>
                <w:sz w:val="24"/>
                <w:szCs w:val="24"/>
              </w:rPr>
            </w:pPr>
            <w:r w:rsidRPr="00C316F8">
              <w:rPr>
                <w:rFonts w:cstheme="minorHAnsi"/>
                <w:bCs/>
                <w:sz w:val="24"/>
                <w:szCs w:val="24"/>
              </w:rPr>
              <w:t>OR</w:t>
            </w:r>
          </w:p>
        </w:tc>
        <w:tc>
          <w:tcPr>
            <w:tcW w:w="0" w:type="auto"/>
          </w:tcPr>
          <w:p w14:paraId="061012ED" w14:textId="77777777" w:rsidR="00D961A3" w:rsidRPr="00C316F8" w:rsidRDefault="00D961A3" w:rsidP="00727B5B">
            <w:pPr>
              <w:jc w:val="both"/>
              <w:rPr>
                <w:rFonts w:cstheme="minorHAnsi"/>
                <w:bCs/>
                <w:sz w:val="24"/>
                <w:szCs w:val="24"/>
              </w:rPr>
            </w:pPr>
            <w:r w:rsidRPr="00C316F8">
              <w:rPr>
                <w:rFonts w:cstheme="minorHAnsi"/>
                <w:bCs/>
                <w:sz w:val="24"/>
                <w:szCs w:val="24"/>
              </w:rPr>
              <w:t>p VALUE</w:t>
            </w:r>
          </w:p>
        </w:tc>
        <w:tc>
          <w:tcPr>
            <w:tcW w:w="0" w:type="auto"/>
          </w:tcPr>
          <w:p w14:paraId="31B2C52C" w14:textId="77777777" w:rsidR="00D961A3" w:rsidRPr="00C316F8" w:rsidRDefault="00D961A3" w:rsidP="00727B5B">
            <w:pPr>
              <w:jc w:val="both"/>
              <w:rPr>
                <w:rFonts w:cstheme="minorHAnsi"/>
                <w:bCs/>
                <w:sz w:val="24"/>
                <w:szCs w:val="24"/>
              </w:rPr>
            </w:pPr>
            <w:r w:rsidRPr="00C316F8">
              <w:rPr>
                <w:rFonts w:cstheme="minorHAnsi"/>
                <w:bCs/>
                <w:sz w:val="24"/>
                <w:szCs w:val="24"/>
              </w:rPr>
              <w:t>CI</w:t>
            </w:r>
          </w:p>
        </w:tc>
      </w:tr>
      <w:tr w:rsidR="00D961A3" w:rsidRPr="00C316F8" w14:paraId="0CD26705" w14:textId="77777777" w:rsidTr="00727B5B">
        <w:tc>
          <w:tcPr>
            <w:tcW w:w="0" w:type="auto"/>
          </w:tcPr>
          <w:p w14:paraId="4CF8EB0B" w14:textId="77777777" w:rsidR="00D961A3" w:rsidRPr="00C316F8" w:rsidRDefault="00D961A3" w:rsidP="00727B5B">
            <w:pPr>
              <w:jc w:val="both"/>
              <w:rPr>
                <w:rFonts w:cstheme="minorHAnsi"/>
                <w:bCs/>
                <w:sz w:val="24"/>
                <w:szCs w:val="24"/>
              </w:rPr>
            </w:pPr>
            <w:r w:rsidRPr="00C316F8">
              <w:rPr>
                <w:rFonts w:cstheme="minorHAnsi"/>
                <w:bCs/>
                <w:sz w:val="24"/>
                <w:szCs w:val="24"/>
              </w:rPr>
              <w:t>AGE</w:t>
            </w:r>
          </w:p>
        </w:tc>
        <w:tc>
          <w:tcPr>
            <w:tcW w:w="0" w:type="auto"/>
          </w:tcPr>
          <w:p w14:paraId="045DE535" w14:textId="77777777" w:rsidR="00D961A3" w:rsidRPr="00C316F8" w:rsidRDefault="00D961A3" w:rsidP="00727B5B">
            <w:pPr>
              <w:jc w:val="both"/>
              <w:rPr>
                <w:rFonts w:cstheme="minorHAnsi"/>
                <w:sz w:val="24"/>
                <w:szCs w:val="24"/>
              </w:rPr>
            </w:pPr>
            <w:r w:rsidRPr="00C316F8">
              <w:rPr>
                <w:rFonts w:cstheme="minorHAnsi"/>
                <w:sz w:val="24"/>
                <w:szCs w:val="24"/>
              </w:rPr>
              <w:t>1.09</w:t>
            </w:r>
          </w:p>
        </w:tc>
        <w:tc>
          <w:tcPr>
            <w:tcW w:w="0" w:type="auto"/>
          </w:tcPr>
          <w:p w14:paraId="212EDE6C" w14:textId="77777777" w:rsidR="00D961A3" w:rsidRPr="00C316F8" w:rsidRDefault="00D961A3" w:rsidP="00727B5B">
            <w:pPr>
              <w:jc w:val="both"/>
              <w:rPr>
                <w:rFonts w:cstheme="minorHAnsi"/>
                <w:sz w:val="24"/>
                <w:szCs w:val="24"/>
              </w:rPr>
            </w:pPr>
            <w:r w:rsidRPr="00C316F8">
              <w:rPr>
                <w:rFonts w:cstheme="minorHAnsi"/>
                <w:sz w:val="24"/>
                <w:szCs w:val="24"/>
              </w:rPr>
              <w:t>&lt;0.0005</w:t>
            </w:r>
          </w:p>
        </w:tc>
        <w:tc>
          <w:tcPr>
            <w:tcW w:w="0" w:type="auto"/>
          </w:tcPr>
          <w:p w14:paraId="1E17A99B" w14:textId="77777777" w:rsidR="00D961A3" w:rsidRPr="00C316F8" w:rsidRDefault="00D961A3" w:rsidP="00727B5B">
            <w:pPr>
              <w:jc w:val="both"/>
              <w:rPr>
                <w:rFonts w:cstheme="minorHAnsi"/>
                <w:sz w:val="24"/>
                <w:szCs w:val="24"/>
              </w:rPr>
            </w:pPr>
            <w:r w:rsidRPr="00C316F8">
              <w:rPr>
                <w:rFonts w:cstheme="minorHAnsi"/>
                <w:sz w:val="24"/>
                <w:szCs w:val="24"/>
              </w:rPr>
              <w:t>1.09-1.09</w:t>
            </w:r>
          </w:p>
        </w:tc>
      </w:tr>
      <w:tr w:rsidR="00D961A3" w:rsidRPr="00C316F8" w14:paraId="489D2FB7" w14:textId="77777777" w:rsidTr="00727B5B">
        <w:tc>
          <w:tcPr>
            <w:tcW w:w="0" w:type="auto"/>
          </w:tcPr>
          <w:p w14:paraId="7EC6D7C5" w14:textId="77777777" w:rsidR="00D961A3" w:rsidRPr="00C316F8" w:rsidRDefault="00D961A3" w:rsidP="00727B5B">
            <w:pPr>
              <w:jc w:val="both"/>
              <w:rPr>
                <w:rFonts w:cstheme="minorHAnsi"/>
                <w:bCs/>
                <w:sz w:val="24"/>
                <w:szCs w:val="24"/>
              </w:rPr>
            </w:pPr>
            <w:r w:rsidRPr="00C316F8">
              <w:rPr>
                <w:rFonts w:cstheme="minorHAnsi"/>
                <w:bCs/>
                <w:sz w:val="24"/>
                <w:szCs w:val="24"/>
              </w:rPr>
              <w:t>MALE (</w:t>
            </w:r>
            <w:r w:rsidRPr="00C316F8">
              <w:rPr>
                <w:rFonts w:cstheme="minorHAnsi"/>
                <w:sz w:val="24"/>
                <w:szCs w:val="24"/>
              </w:rPr>
              <w:t>Female as the reference group</w:t>
            </w:r>
            <w:r w:rsidRPr="00C316F8">
              <w:rPr>
                <w:rFonts w:cstheme="minorHAnsi"/>
                <w:bCs/>
                <w:sz w:val="24"/>
                <w:szCs w:val="24"/>
              </w:rPr>
              <w:t>)</w:t>
            </w:r>
          </w:p>
        </w:tc>
        <w:tc>
          <w:tcPr>
            <w:tcW w:w="0" w:type="auto"/>
          </w:tcPr>
          <w:p w14:paraId="2D50A02C" w14:textId="77777777" w:rsidR="00D961A3" w:rsidRPr="00C316F8" w:rsidRDefault="00D961A3" w:rsidP="00727B5B">
            <w:pPr>
              <w:jc w:val="both"/>
              <w:rPr>
                <w:rFonts w:cstheme="minorHAnsi"/>
                <w:sz w:val="24"/>
                <w:szCs w:val="24"/>
              </w:rPr>
            </w:pPr>
            <w:r w:rsidRPr="00C316F8">
              <w:rPr>
                <w:rFonts w:cstheme="minorHAnsi"/>
                <w:sz w:val="24"/>
                <w:szCs w:val="24"/>
              </w:rPr>
              <w:t>1.96</w:t>
            </w:r>
          </w:p>
        </w:tc>
        <w:tc>
          <w:tcPr>
            <w:tcW w:w="0" w:type="auto"/>
          </w:tcPr>
          <w:p w14:paraId="091D785A" w14:textId="77777777" w:rsidR="00D961A3" w:rsidRPr="00C316F8" w:rsidRDefault="00D961A3" w:rsidP="00727B5B">
            <w:pPr>
              <w:jc w:val="both"/>
              <w:rPr>
                <w:rFonts w:cstheme="minorHAnsi"/>
                <w:sz w:val="24"/>
                <w:szCs w:val="24"/>
              </w:rPr>
            </w:pPr>
            <w:r w:rsidRPr="00C316F8">
              <w:rPr>
                <w:rFonts w:cstheme="minorHAnsi"/>
                <w:sz w:val="24"/>
                <w:szCs w:val="24"/>
              </w:rPr>
              <w:t>&lt;0.0005</w:t>
            </w:r>
          </w:p>
        </w:tc>
        <w:tc>
          <w:tcPr>
            <w:tcW w:w="0" w:type="auto"/>
          </w:tcPr>
          <w:p w14:paraId="4A9EC94B" w14:textId="77777777" w:rsidR="00D961A3" w:rsidRPr="00C316F8" w:rsidRDefault="00D961A3" w:rsidP="00727B5B">
            <w:pPr>
              <w:jc w:val="both"/>
              <w:rPr>
                <w:rFonts w:cstheme="minorHAnsi"/>
                <w:sz w:val="24"/>
                <w:szCs w:val="24"/>
              </w:rPr>
            </w:pPr>
            <w:r w:rsidRPr="00C316F8">
              <w:rPr>
                <w:rFonts w:cstheme="minorHAnsi"/>
                <w:sz w:val="24"/>
                <w:szCs w:val="24"/>
              </w:rPr>
              <w:t>1.94-1.98</w:t>
            </w:r>
          </w:p>
        </w:tc>
      </w:tr>
      <w:tr w:rsidR="00D961A3" w:rsidRPr="00C316F8" w14:paraId="3D0B96DC" w14:textId="77777777" w:rsidTr="00727B5B">
        <w:tc>
          <w:tcPr>
            <w:tcW w:w="0" w:type="auto"/>
          </w:tcPr>
          <w:p w14:paraId="513C67C8" w14:textId="77777777" w:rsidR="00D961A3" w:rsidRPr="00C316F8" w:rsidRDefault="00D961A3" w:rsidP="00727B5B">
            <w:pPr>
              <w:jc w:val="both"/>
              <w:rPr>
                <w:rFonts w:cstheme="minorHAnsi"/>
                <w:bCs/>
                <w:sz w:val="24"/>
                <w:szCs w:val="24"/>
              </w:rPr>
            </w:pPr>
            <w:r w:rsidRPr="00C316F8">
              <w:rPr>
                <w:rFonts w:cstheme="minorHAnsi"/>
                <w:bCs/>
                <w:sz w:val="24"/>
                <w:szCs w:val="24"/>
              </w:rPr>
              <w:t>AFROCOLOMBIANS (</w:t>
            </w:r>
            <w:r w:rsidRPr="00C316F8">
              <w:rPr>
                <w:rFonts w:cstheme="minorHAnsi"/>
                <w:sz w:val="24"/>
                <w:szCs w:val="24"/>
              </w:rPr>
              <w:t>White-Mestizo as the reference group</w:t>
            </w:r>
            <w:r w:rsidRPr="00C316F8">
              <w:rPr>
                <w:rFonts w:cstheme="minorHAnsi"/>
                <w:bCs/>
                <w:sz w:val="24"/>
                <w:szCs w:val="24"/>
              </w:rPr>
              <w:t>)</w:t>
            </w:r>
          </w:p>
        </w:tc>
        <w:tc>
          <w:tcPr>
            <w:tcW w:w="0" w:type="auto"/>
          </w:tcPr>
          <w:p w14:paraId="15663781" w14:textId="77777777" w:rsidR="00D961A3" w:rsidRPr="00C316F8" w:rsidRDefault="00D961A3" w:rsidP="00727B5B">
            <w:pPr>
              <w:jc w:val="both"/>
              <w:rPr>
                <w:rFonts w:cstheme="minorHAnsi"/>
                <w:sz w:val="24"/>
                <w:szCs w:val="24"/>
              </w:rPr>
            </w:pPr>
            <w:r w:rsidRPr="00C316F8">
              <w:rPr>
                <w:rFonts w:cstheme="minorHAnsi"/>
                <w:sz w:val="24"/>
                <w:szCs w:val="24"/>
              </w:rPr>
              <w:t>1.10</w:t>
            </w:r>
          </w:p>
        </w:tc>
        <w:tc>
          <w:tcPr>
            <w:tcW w:w="0" w:type="auto"/>
          </w:tcPr>
          <w:p w14:paraId="0D6C0D28" w14:textId="77777777" w:rsidR="00D961A3" w:rsidRPr="00C316F8" w:rsidRDefault="00D961A3" w:rsidP="00727B5B">
            <w:pPr>
              <w:jc w:val="both"/>
              <w:rPr>
                <w:rFonts w:cstheme="minorHAnsi"/>
                <w:sz w:val="24"/>
                <w:szCs w:val="24"/>
              </w:rPr>
            </w:pPr>
            <w:r w:rsidRPr="00C316F8">
              <w:rPr>
                <w:rFonts w:cstheme="minorHAnsi"/>
                <w:sz w:val="24"/>
                <w:szCs w:val="24"/>
              </w:rPr>
              <w:t>&lt;0.0005</w:t>
            </w:r>
          </w:p>
        </w:tc>
        <w:tc>
          <w:tcPr>
            <w:tcW w:w="0" w:type="auto"/>
          </w:tcPr>
          <w:p w14:paraId="05418157" w14:textId="77777777" w:rsidR="00D961A3" w:rsidRPr="00C316F8" w:rsidRDefault="00D961A3" w:rsidP="00727B5B">
            <w:pPr>
              <w:jc w:val="both"/>
              <w:rPr>
                <w:rFonts w:cstheme="minorHAnsi"/>
                <w:sz w:val="24"/>
                <w:szCs w:val="24"/>
              </w:rPr>
            </w:pPr>
            <w:r w:rsidRPr="00C316F8">
              <w:rPr>
                <w:rFonts w:cstheme="minorHAnsi"/>
                <w:sz w:val="24"/>
                <w:szCs w:val="24"/>
              </w:rPr>
              <w:t>1.05-1.14</w:t>
            </w:r>
          </w:p>
        </w:tc>
      </w:tr>
      <w:tr w:rsidR="00D961A3" w:rsidRPr="00C316F8" w14:paraId="4ACB5BE9" w14:textId="77777777" w:rsidTr="00727B5B">
        <w:tc>
          <w:tcPr>
            <w:tcW w:w="0" w:type="auto"/>
          </w:tcPr>
          <w:p w14:paraId="00A74EDE" w14:textId="77777777" w:rsidR="00D961A3" w:rsidRPr="00C316F8" w:rsidRDefault="00D961A3" w:rsidP="00727B5B">
            <w:pPr>
              <w:jc w:val="both"/>
              <w:rPr>
                <w:rFonts w:cstheme="minorHAnsi"/>
                <w:bCs/>
                <w:sz w:val="24"/>
                <w:szCs w:val="24"/>
              </w:rPr>
            </w:pPr>
            <w:r w:rsidRPr="00C316F8">
              <w:rPr>
                <w:rFonts w:cstheme="minorHAnsi"/>
                <w:bCs/>
                <w:sz w:val="24"/>
                <w:szCs w:val="24"/>
              </w:rPr>
              <w:t>INDIGENOUS</w:t>
            </w:r>
          </w:p>
          <w:p w14:paraId="2D893F11" w14:textId="77777777" w:rsidR="00D961A3" w:rsidRPr="00C316F8" w:rsidRDefault="00D961A3" w:rsidP="00727B5B">
            <w:pPr>
              <w:jc w:val="both"/>
              <w:rPr>
                <w:rFonts w:cstheme="minorHAnsi"/>
                <w:bCs/>
                <w:sz w:val="24"/>
                <w:szCs w:val="24"/>
              </w:rPr>
            </w:pPr>
            <w:r w:rsidRPr="00C316F8">
              <w:rPr>
                <w:rFonts w:cstheme="minorHAnsi"/>
                <w:bCs/>
                <w:sz w:val="24"/>
                <w:szCs w:val="24"/>
              </w:rPr>
              <w:t>(</w:t>
            </w:r>
            <w:r w:rsidRPr="00C316F8">
              <w:rPr>
                <w:rFonts w:cstheme="minorHAnsi"/>
                <w:sz w:val="24"/>
                <w:szCs w:val="24"/>
              </w:rPr>
              <w:t>White-Mestizo as the reference group</w:t>
            </w:r>
            <w:r w:rsidRPr="00C316F8">
              <w:rPr>
                <w:rFonts w:cstheme="minorHAnsi"/>
                <w:bCs/>
                <w:sz w:val="24"/>
                <w:szCs w:val="24"/>
              </w:rPr>
              <w:t>)</w:t>
            </w:r>
          </w:p>
        </w:tc>
        <w:tc>
          <w:tcPr>
            <w:tcW w:w="0" w:type="auto"/>
          </w:tcPr>
          <w:p w14:paraId="05452D4C" w14:textId="77777777" w:rsidR="00D961A3" w:rsidRPr="00C316F8" w:rsidRDefault="00D961A3" w:rsidP="00727B5B">
            <w:pPr>
              <w:jc w:val="both"/>
              <w:rPr>
                <w:rFonts w:cstheme="minorHAnsi"/>
                <w:sz w:val="24"/>
                <w:szCs w:val="24"/>
              </w:rPr>
            </w:pPr>
            <w:r w:rsidRPr="00C316F8">
              <w:rPr>
                <w:rFonts w:cstheme="minorHAnsi"/>
                <w:sz w:val="24"/>
                <w:szCs w:val="24"/>
              </w:rPr>
              <w:t>1.18</w:t>
            </w:r>
          </w:p>
        </w:tc>
        <w:tc>
          <w:tcPr>
            <w:tcW w:w="0" w:type="auto"/>
          </w:tcPr>
          <w:p w14:paraId="49E76B7A" w14:textId="77777777" w:rsidR="00D961A3" w:rsidRPr="00C316F8" w:rsidRDefault="00D961A3" w:rsidP="00727B5B">
            <w:pPr>
              <w:jc w:val="both"/>
              <w:rPr>
                <w:rFonts w:cstheme="minorHAnsi"/>
                <w:sz w:val="24"/>
                <w:szCs w:val="24"/>
              </w:rPr>
            </w:pPr>
            <w:r w:rsidRPr="00C316F8">
              <w:rPr>
                <w:rFonts w:cstheme="minorHAnsi"/>
                <w:sz w:val="24"/>
                <w:szCs w:val="24"/>
              </w:rPr>
              <w:t>&lt;0.0005</w:t>
            </w:r>
          </w:p>
        </w:tc>
        <w:tc>
          <w:tcPr>
            <w:tcW w:w="0" w:type="auto"/>
          </w:tcPr>
          <w:p w14:paraId="4E13059E" w14:textId="77777777" w:rsidR="00D961A3" w:rsidRPr="00C316F8" w:rsidRDefault="00D961A3" w:rsidP="00727B5B">
            <w:pPr>
              <w:jc w:val="both"/>
              <w:rPr>
                <w:rFonts w:cstheme="minorHAnsi"/>
                <w:sz w:val="24"/>
                <w:szCs w:val="24"/>
              </w:rPr>
            </w:pPr>
            <w:r w:rsidRPr="00C316F8">
              <w:rPr>
                <w:rFonts w:cstheme="minorHAnsi"/>
                <w:sz w:val="24"/>
                <w:szCs w:val="24"/>
              </w:rPr>
              <w:t>1.12-1.24</w:t>
            </w:r>
          </w:p>
        </w:tc>
      </w:tr>
      <w:tr w:rsidR="00D961A3" w:rsidRPr="00C316F8" w14:paraId="1EFF13AD" w14:textId="77777777" w:rsidTr="00727B5B">
        <w:tc>
          <w:tcPr>
            <w:tcW w:w="0" w:type="auto"/>
          </w:tcPr>
          <w:p w14:paraId="7691C77E" w14:textId="77777777" w:rsidR="00D961A3" w:rsidRPr="00C316F8" w:rsidRDefault="00D961A3" w:rsidP="00727B5B">
            <w:pPr>
              <w:jc w:val="both"/>
              <w:rPr>
                <w:rFonts w:cstheme="minorHAnsi"/>
                <w:bCs/>
                <w:sz w:val="24"/>
                <w:szCs w:val="24"/>
              </w:rPr>
            </w:pPr>
            <w:r w:rsidRPr="00C316F8">
              <w:rPr>
                <w:rFonts w:cstheme="minorHAnsi"/>
                <w:bCs/>
                <w:sz w:val="24"/>
                <w:szCs w:val="24"/>
              </w:rPr>
              <w:t>COEFFICIENT</w:t>
            </w:r>
          </w:p>
        </w:tc>
        <w:tc>
          <w:tcPr>
            <w:tcW w:w="0" w:type="auto"/>
          </w:tcPr>
          <w:p w14:paraId="519F2269" w14:textId="77777777" w:rsidR="00D961A3" w:rsidRPr="00C316F8" w:rsidRDefault="00D961A3" w:rsidP="00727B5B">
            <w:pPr>
              <w:jc w:val="both"/>
              <w:rPr>
                <w:rFonts w:cstheme="minorHAnsi"/>
                <w:sz w:val="24"/>
                <w:szCs w:val="24"/>
              </w:rPr>
            </w:pPr>
            <w:r w:rsidRPr="00C316F8">
              <w:rPr>
                <w:rFonts w:cstheme="minorHAnsi"/>
                <w:sz w:val="24"/>
                <w:szCs w:val="24"/>
              </w:rPr>
              <w:t>0.0000697</w:t>
            </w:r>
          </w:p>
        </w:tc>
        <w:tc>
          <w:tcPr>
            <w:tcW w:w="0" w:type="auto"/>
          </w:tcPr>
          <w:p w14:paraId="60F7F6E0" w14:textId="77777777" w:rsidR="00D961A3" w:rsidRPr="00C316F8" w:rsidRDefault="00D961A3" w:rsidP="00727B5B">
            <w:pPr>
              <w:jc w:val="both"/>
              <w:rPr>
                <w:rFonts w:cstheme="minorHAnsi"/>
                <w:sz w:val="24"/>
                <w:szCs w:val="24"/>
              </w:rPr>
            </w:pPr>
            <w:r w:rsidRPr="00C316F8">
              <w:rPr>
                <w:rFonts w:cstheme="minorHAnsi"/>
                <w:sz w:val="24"/>
                <w:szCs w:val="24"/>
              </w:rPr>
              <w:t>&lt;0.0005</w:t>
            </w:r>
          </w:p>
        </w:tc>
        <w:tc>
          <w:tcPr>
            <w:tcW w:w="0" w:type="auto"/>
          </w:tcPr>
          <w:p w14:paraId="23C6DC53" w14:textId="77777777" w:rsidR="00D961A3" w:rsidRPr="00C316F8" w:rsidRDefault="00D961A3" w:rsidP="00727B5B">
            <w:pPr>
              <w:jc w:val="both"/>
              <w:rPr>
                <w:rFonts w:cstheme="minorHAnsi"/>
                <w:sz w:val="24"/>
                <w:szCs w:val="24"/>
              </w:rPr>
            </w:pPr>
            <w:r w:rsidRPr="00C316F8">
              <w:rPr>
                <w:rFonts w:cstheme="minorHAnsi"/>
                <w:sz w:val="24"/>
                <w:szCs w:val="24"/>
              </w:rPr>
              <w:t>0.000062- 0.0000783</w:t>
            </w:r>
          </w:p>
        </w:tc>
      </w:tr>
      <w:tr w:rsidR="00D961A3" w:rsidRPr="00C316F8" w14:paraId="0B9B0562" w14:textId="77777777" w:rsidTr="00727B5B">
        <w:tc>
          <w:tcPr>
            <w:tcW w:w="0" w:type="auto"/>
            <w:gridSpan w:val="4"/>
          </w:tcPr>
          <w:p w14:paraId="3AA29E2D" w14:textId="77777777" w:rsidR="00D961A3" w:rsidRPr="00C316F8" w:rsidRDefault="00D961A3" w:rsidP="00727B5B">
            <w:pPr>
              <w:jc w:val="both"/>
              <w:rPr>
                <w:rFonts w:cstheme="minorHAnsi"/>
                <w:b/>
                <w:sz w:val="24"/>
                <w:szCs w:val="24"/>
                <w:lang w:val="es-MX"/>
              </w:rPr>
            </w:pPr>
            <w:r w:rsidRPr="00C316F8">
              <w:rPr>
                <w:rFonts w:cstheme="minorHAnsi"/>
                <w:b/>
                <w:sz w:val="24"/>
                <w:szCs w:val="24"/>
              </w:rPr>
              <w:t>AREA VARIABLE</w:t>
            </w:r>
          </w:p>
        </w:tc>
      </w:tr>
      <w:tr w:rsidR="00D961A3" w:rsidRPr="00C316F8" w14:paraId="097D9E77" w14:textId="77777777" w:rsidTr="00727B5B">
        <w:tc>
          <w:tcPr>
            <w:tcW w:w="0" w:type="auto"/>
          </w:tcPr>
          <w:p w14:paraId="552A3CB1" w14:textId="77777777" w:rsidR="00D961A3" w:rsidRPr="00C316F8" w:rsidRDefault="00D961A3" w:rsidP="00727B5B">
            <w:pPr>
              <w:jc w:val="both"/>
              <w:rPr>
                <w:rFonts w:cstheme="minorHAnsi"/>
                <w:bCs/>
                <w:sz w:val="24"/>
                <w:szCs w:val="24"/>
              </w:rPr>
            </w:pPr>
            <w:r w:rsidRPr="00C316F8">
              <w:rPr>
                <w:rFonts w:cstheme="minorHAnsi"/>
                <w:bCs/>
                <w:sz w:val="24"/>
                <w:szCs w:val="24"/>
              </w:rPr>
              <w:t>CMPI</w:t>
            </w:r>
          </w:p>
        </w:tc>
        <w:tc>
          <w:tcPr>
            <w:tcW w:w="0" w:type="auto"/>
          </w:tcPr>
          <w:p w14:paraId="50674610" w14:textId="77777777" w:rsidR="00D961A3" w:rsidRPr="00C316F8" w:rsidRDefault="00D961A3" w:rsidP="00727B5B">
            <w:pPr>
              <w:jc w:val="both"/>
              <w:rPr>
                <w:rFonts w:cstheme="minorHAnsi"/>
                <w:sz w:val="24"/>
                <w:szCs w:val="24"/>
                <w:lang w:val="es-MX"/>
              </w:rPr>
            </w:pPr>
            <w:r w:rsidRPr="00C316F8">
              <w:rPr>
                <w:rFonts w:cstheme="minorHAnsi"/>
                <w:sz w:val="24"/>
                <w:szCs w:val="24"/>
              </w:rPr>
              <w:t>1.003</w:t>
            </w:r>
          </w:p>
        </w:tc>
        <w:tc>
          <w:tcPr>
            <w:tcW w:w="0" w:type="auto"/>
          </w:tcPr>
          <w:p w14:paraId="24F7C601" w14:textId="77777777" w:rsidR="00D961A3" w:rsidRPr="00C316F8" w:rsidRDefault="00D961A3" w:rsidP="00727B5B">
            <w:pPr>
              <w:jc w:val="both"/>
              <w:rPr>
                <w:rFonts w:cstheme="minorHAnsi"/>
                <w:bCs/>
                <w:sz w:val="24"/>
                <w:szCs w:val="24"/>
              </w:rPr>
            </w:pPr>
            <w:r w:rsidRPr="00C316F8">
              <w:rPr>
                <w:rFonts w:cstheme="minorHAnsi"/>
                <w:sz w:val="24"/>
                <w:szCs w:val="24"/>
              </w:rPr>
              <w:t>&lt;0.0005</w:t>
            </w:r>
          </w:p>
        </w:tc>
        <w:tc>
          <w:tcPr>
            <w:tcW w:w="0" w:type="auto"/>
          </w:tcPr>
          <w:p w14:paraId="5073E74F" w14:textId="77777777" w:rsidR="00D961A3" w:rsidRPr="00C316F8" w:rsidRDefault="00D961A3" w:rsidP="00727B5B">
            <w:pPr>
              <w:jc w:val="both"/>
              <w:rPr>
                <w:rFonts w:cstheme="minorHAnsi"/>
                <w:sz w:val="24"/>
                <w:szCs w:val="24"/>
                <w:lang w:val="es-MX"/>
              </w:rPr>
            </w:pPr>
            <w:r w:rsidRPr="00C316F8">
              <w:rPr>
                <w:rFonts w:cstheme="minorHAnsi"/>
                <w:sz w:val="24"/>
                <w:szCs w:val="24"/>
              </w:rPr>
              <w:t>1.0015-1.0056</w:t>
            </w:r>
          </w:p>
        </w:tc>
      </w:tr>
      <w:tr w:rsidR="00D961A3" w:rsidRPr="00C316F8" w14:paraId="2E529EBF" w14:textId="77777777" w:rsidTr="00727B5B">
        <w:tc>
          <w:tcPr>
            <w:tcW w:w="0" w:type="auto"/>
          </w:tcPr>
          <w:p w14:paraId="3334E9C3" w14:textId="77777777" w:rsidR="00D961A3" w:rsidRPr="00C316F8" w:rsidRDefault="00D961A3" w:rsidP="00727B5B">
            <w:pPr>
              <w:jc w:val="both"/>
              <w:rPr>
                <w:rFonts w:cstheme="minorHAnsi"/>
                <w:bCs/>
                <w:sz w:val="24"/>
                <w:szCs w:val="24"/>
              </w:rPr>
            </w:pPr>
            <w:r w:rsidRPr="00C316F8">
              <w:rPr>
                <w:rFonts w:cstheme="minorHAnsi"/>
                <w:bCs/>
                <w:sz w:val="24"/>
                <w:szCs w:val="24"/>
              </w:rPr>
              <w:t>ZOMAC</w:t>
            </w:r>
          </w:p>
          <w:p w14:paraId="0FF8AFF7" w14:textId="77777777" w:rsidR="00D961A3" w:rsidRPr="00C316F8" w:rsidRDefault="00D961A3" w:rsidP="00727B5B">
            <w:pPr>
              <w:jc w:val="both"/>
              <w:rPr>
                <w:rFonts w:cstheme="minorHAnsi"/>
                <w:bCs/>
                <w:sz w:val="24"/>
                <w:szCs w:val="24"/>
              </w:rPr>
            </w:pPr>
            <w:r w:rsidRPr="00C316F8">
              <w:rPr>
                <w:rFonts w:cstheme="minorHAnsi"/>
                <w:bCs/>
                <w:sz w:val="24"/>
                <w:szCs w:val="24"/>
              </w:rPr>
              <w:t>(</w:t>
            </w:r>
            <w:r w:rsidRPr="00C316F8">
              <w:rPr>
                <w:rFonts w:cstheme="minorHAnsi"/>
                <w:sz w:val="24"/>
                <w:szCs w:val="24"/>
              </w:rPr>
              <w:t>Non-ZOMAC as the reference group</w:t>
            </w:r>
            <w:r w:rsidRPr="00C316F8">
              <w:rPr>
                <w:rFonts w:cstheme="minorHAnsi"/>
                <w:bCs/>
                <w:sz w:val="24"/>
                <w:szCs w:val="24"/>
              </w:rPr>
              <w:t>)</w:t>
            </w:r>
          </w:p>
        </w:tc>
        <w:tc>
          <w:tcPr>
            <w:tcW w:w="0" w:type="auto"/>
          </w:tcPr>
          <w:p w14:paraId="52834D34" w14:textId="77777777" w:rsidR="00D961A3" w:rsidRPr="00C316F8" w:rsidRDefault="00D961A3" w:rsidP="00727B5B">
            <w:pPr>
              <w:jc w:val="both"/>
              <w:rPr>
                <w:rFonts w:cstheme="minorHAnsi"/>
                <w:sz w:val="24"/>
                <w:szCs w:val="24"/>
                <w:lang w:val="es-MX"/>
              </w:rPr>
            </w:pPr>
            <w:r w:rsidRPr="00C316F8">
              <w:rPr>
                <w:rFonts w:cstheme="minorHAnsi"/>
                <w:sz w:val="24"/>
                <w:szCs w:val="24"/>
              </w:rPr>
              <w:t>1.11</w:t>
            </w:r>
          </w:p>
        </w:tc>
        <w:tc>
          <w:tcPr>
            <w:tcW w:w="0" w:type="auto"/>
          </w:tcPr>
          <w:p w14:paraId="12359FC1" w14:textId="77777777" w:rsidR="00D961A3" w:rsidRPr="00C316F8" w:rsidRDefault="00D961A3" w:rsidP="00727B5B">
            <w:pPr>
              <w:jc w:val="both"/>
              <w:rPr>
                <w:rFonts w:cstheme="minorHAnsi"/>
                <w:bCs/>
                <w:sz w:val="24"/>
                <w:szCs w:val="24"/>
              </w:rPr>
            </w:pPr>
            <w:r w:rsidRPr="00C316F8">
              <w:rPr>
                <w:rFonts w:cstheme="minorHAnsi"/>
                <w:sz w:val="24"/>
                <w:szCs w:val="24"/>
              </w:rPr>
              <w:t>0.008</w:t>
            </w:r>
          </w:p>
        </w:tc>
        <w:tc>
          <w:tcPr>
            <w:tcW w:w="0" w:type="auto"/>
          </w:tcPr>
          <w:p w14:paraId="2E3E7D1D" w14:textId="77777777" w:rsidR="00D961A3" w:rsidRPr="00C316F8" w:rsidRDefault="00D961A3" w:rsidP="00727B5B">
            <w:pPr>
              <w:jc w:val="both"/>
              <w:rPr>
                <w:rFonts w:cstheme="minorHAnsi"/>
                <w:sz w:val="24"/>
                <w:szCs w:val="24"/>
                <w:lang w:val="es-MX"/>
              </w:rPr>
            </w:pPr>
            <w:r w:rsidRPr="00C316F8">
              <w:rPr>
                <w:rFonts w:cstheme="minorHAnsi"/>
                <w:sz w:val="24"/>
                <w:szCs w:val="24"/>
              </w:rPr>
              <w:t>1.02-1.20</w:t>
            </w:r>
          </w:p>
        </w:tc>
      </w:tr>
      <w:tr w:rsidR="00D961A3" w:rsidRPr="00C316F8" w14:paraId="2BA7FBA6" w14:textId="77777777" w:rsidTr="00727B5B">
        <w:tc>
          <w:tcPr>
            <w:tcW w:w="0" w:type="auto"/>
          </w:tcPr>
          <w:p w14:paraId="32A0DDBA" w14:textId="77777777" w:rsidR="00D961A3" w:rsidRPr="00C316F8" w:rsidRDefault="00D961A3" w:rsidP="00727B5B">
            <w:pPr>
              <w:jc w:val="both"/>
              <w:rPr>
                <w:rFonts w:cstheme="minorHAnsi"/>
                <w:bCs/>
                <w:sz w:val="24"/>
                <w:szCs w:val="24"/>
              </w:rPr>
            </w:pPr>
            <w:r w:rsidRPr="00C316F8">
              <w:rPr>
                <w:rFonts w:cstheme="minorHAnsi"/>
                <w:bCs/>
                <w:sz w:val="24"/>
                <w:szCs w:val="24"/>
              </w:rPr>
              <w:t>PDET</w:t>
            </w:r>
          </w:p>
          <w:p w14:paraId="60670854" w14:textId="77777777" w:rsidR="00D961A3" w:rsidRPr="00C316F8" w:rsidRDefault="00D961A3" w:rsidP="00727B5B">
            <w:pPr>
              <w:jc w:val="both"/>
              <w:rPr>
                <w:rFonts w:cstheme="minorHAnsi"/>
                <w:bCs/>
                <w:sz w:val="24"/>
                <w:szCs w:val="24"/>
              </w:rPr>
            </w:pPr>
            <w:r w:rsidRPr="00C316F8">
              <w:rPr>
                <w:rFonts w:cstheme="minorHAnsi"/>
                <w:bCs/>
                <w:sz w:val="24"/>
                <w:szCs w:val="24"/>
              </w:rPr>
              <w:t>(</w:t>
            </w:r>
            <w:r w:rsidRPr="00C316F8">
              <w:rPr>
                <w:rFonts w:cstheme="minorHAnsi"/>
                <w:sz w:val="24"/>
                <w:szCs w:val="24"/>
              </w:rPr>
              <w:t>Non-PDET as the reference group</w:t>
            </w:r>
            <w:r w:rsidRPr="00C316F8">
              <w:rPr>
                <w:rFonts w:cstheme="minorHAnsi"/>
                <w:bCs/>
                <w:sz w:val="24"/>
                <w:szCs w:val="24"/>
              </w:rPr>
              <w:t>)</w:t>
            </w:r>
          </w:p>
        </w:tc>
        <w:tc>
          <w:tcPr>
            <w:tcW w:w="0" w:type="auto"/>
          </w:tcPr>
          <w:p w14:paraId="6BB75D99" w14:textId="77777777" w:rsidR="00D961A3" w:rsidRPr="00C316F8" w:rsidRDefault="00D961A3" w:rsidP="00727B5B">
            <w:pPr>
              <w:jc w:val="both"/>
              <w:rPr>
                <w:rFonts w:cstheme="minorHAnsi"/>
                <w:sz w:val="24"/>
                <w:szCs w:val="24"/>
                <w:lang w:val="es-MX"/>
              </w:rPr>
            </w:pPr>
            <w:r w:rsidRPr="00C316F8">
              <w:rPr>
                <w:rFonts w:cstheme="minorHAnsi"/>
                <w:sz w:val="24"/>
                <w:szCs w:val="24"/>
              </w:rPr>
              <w:t>1.13</w:t>
            </w:r>
          </w:p>
        </w:tc>
        <w:tc>
          <w:tcPr>
            <w:tcW w:w="0" w:type="auto"/>
          </w:tcPr>
          <w:p w14:paraId="748EA3AD" w14:textId="77777777" w:rsidR="00D961A3" w:rsidRPr="00C316F8" w:rsidRDefault="00D961A3" w:rsidP="00727B5B">
            <w:pPr>
              <w:jc w:val="both"/>
              <w:rPr>
                <w:rFonts w:cstheme="minorHAnsi"/>
                <w:bCs/>
                <w:sz w:val="24"/>
                <w:szCs w:val="24"/>
              </w:rPr>
            </w:pPr>
            <w:r w:rsidRPr="00C316F8">
              <w:rPr>
                <w:rFonts w:cstheme="minorHAnsi"/>
                <w:sz w:val="24"/>
                <w:szCs w:val="24"/>
              </w:rPr>
              <w:t>0.010</w:t>
            </w:r>
          </w:p>
        </w:tc>
        <w:tc>
          <w:tcPr>
            <w:tcW w:w="0" w:type="auto"/>
          </w:tcPr>
          <w:p w14:paraId="1F2A0FAC" w14:textId="77777777" w:rsidR="00D961A3" w:rsidRPr="00C316F8" w:rsidRDefault="00D961A3" w:rsidP="00727B5B">
            <w:pPr>
              <w:jc w:val="both"/>
              <w:rPr>
                <w:rFonts w:cstheme="minorHAnsi"/>
                <w:sz w:val="24"/>
                <w:szCs w:val="24"/>
                <w:lang w:val="es-MX"/>
              </w:rPr>
            </w:pPr>
            <w:r w:rsidRPr="00C316F8">
              <w:rPr>
                <w:rFonts w:cstheme="minorHAnsi"/>
                <w:sz w:val="24"/>
                <w:szCs w:val="24"/>
              </w:rPr>
              <w:t>1.03-1.25</w:t>
            </w:r>
          </w:p>
        </w:tc>
      </w:tr>
      <w:tr w:rsidR="00D961A3" w:rsidRPr="00C316F8" w14:paraId="1E124A98" w14:textId="77777777" w:rsidTr="00727B5B">
        <w:tc>
          <w:tcPr>
            <w:tcW w:w="0" w:type="auto"/>
            <w:gridSpan w:val="4"/>
          </w:tcPr>
          <w:p w14:paraId="666DD1B0" w14:textId="77777777" w:rsidR="00D961A3" w:rsidRPr="00C316F8" w:rsidRDefault="00D961A3" w:rsidP="00727B5B">
            <w:pPr>
              <w:jc w:val="both"/>
              <w:rPr>
                <w:rFonts w:cstheme="minorHAnsi"/>
                <w:sz w:val="24"/>
                <w:szCs w:val="24"/>
                <w:lang w:val="es-MX"/>
              </w:rPr>
            </w:pPr>
          </w:p>
        </w:tc>
      </w:tr>
      <w:tr w:rsidR="00D961A3" w:rsidRPr="00C316F8" w14:paraId="19D6EC84" w14:textId="77777777" w:rsidTr="00727B5B">
        <w:tc>
          <w:tcPr>
            <w:tcW w:w="0" w:type="auto"/>
          </w:tcPr>
          <w:p w14:paraId="3EC47426" w14:textId="77777777" w:rsidR="00D961A3" w:rsidRPr="00C316F8" w:rsidRDefault="00D961A3" w:rsidP="00727B5B">
            <w:pPr>
              <w:jc w:val="both"/>
              <w:rPr>
                <w:rFonts w:cstheme="minorHAnsi"/>
                <w:bCs/>
                <w:sz w:val="24"/>
                <w:szCs w:val="24"/>
              </w:rPr>
            </w:pPr>
            <w:r w:rsidRPr="00C316F8">
              <w:rPr>
                <w:rFonts w:cstheme="minorHAnsi"/>
                <w:bCs/>
                <w:sz w:val="24"/>
                <w:szCs w:val="24"/>
              </w:rPr>
              <w:t>Deparment variance</w:t>
            </w:r>
          </w:p>
        </w:tc>
        <w:tc>
          <w:tcPr>
            <w:tcW w:w="0" w:type="auto"/>
          </w:tcPr>
          <w:p w14:paraId="11A8A1DC" w14:textId="77777777" w:rsidR="00D961A3" w:rsidRPr="00C316F8" w:rsidRDefault="00D961A3" w:rsidP="00727B5B">
            <w:pPr>
              <w:jc w:val="both"/>
              <w:rPr>
                <w:rFonts w:cstheme="minorHAnsi"/>
                <w:bCs/>
                <w:sz w:val="24"/>
                <w:szCs w:val="24"/>
              </w:rPr>
            </w:pPr>
            <w:r w:rsidRPr="00C316F8">
              <w:rPr>
                <w:rFonts w:cstheme="minorHAnsi"/>
                <w:sz w:val="24"/>
                <w:szCs w:val="24"/>
              </w:rPr>
              <w:t>0.039265</w:t>
            </w:r>
          </w:p>
        </w:tc>
        <w:tc>
          <w:tcPr>
            <w:tcW w:w="0" w:type="auto"/>
          </w:tcPr>
          <w:p w14:paraId="0D56366A" w14:textId="77777777" w:rsidR="00D961A3" w:rsidRPr="00C316F8" w:rsidRDefault="00D961A3" w:rsidP="00727B5B">
            <w:pPr>
              <w:jc w:val="both"/>
              <w:rPr>
                <w:rFonts w:cstheme="minorHAnsi"/>
                <w:bCs/>
                <w:sz w:val="24"/>
                <w:szCs w:val="24"/>
              </w:rPr>
            </w:pPr>
          </w:p>
        </w:tc>
        <w:tc>
          <w:tcPr>
            <w:tcW w:w="0" w:type="auto"/>
          </w:tcPr>
          <w:p w14:paraId="3F722A8B" w14:textId="77777777" w:rsidR="00D961A3" w:rsidRPr="00C316F8" w:rsidRDefault="00D961A3" w:rsidP="00727B5B">
            <w:pPr>
              <w:jc w:val="both"/>
              <w:rPr>
                <w:rFonts w:cstheme="minorHAnsi"/>
                <w:bCs/>
                <w:sz w:val="24"/>
                <w:szCs w:val="24"/>
              </w:rPr>
            </w:pPr>
            <w:r w:rsidRPr="00C316F8">
              <w:rPr>
                <w:rFonts w:cstheme="minorHAnsi"/>
                <w:sz w:val="24"/>
                <w:szCs w:val="24"/>
              </w:rPr>
              <w:t>0.02-0.07</w:t>
            </w:r>
          </w:p>
        </w:tc>
      </w:tr>
      <w:tr w:rsidR="00D961A3" w:rsidRPr="00C316F8" w14:paraId="65EC4864" w14:textId="77777777" w:rsidTr="00727B5B">
        <w:tc>
          <w:tcPr>
            <w:tcW w:w="0" w:type="auto"/>
          </w:tcPr>
          <w:p w14:paraId="653C4B82" w14:textId="77777777" w:rsidR="00D961A3" w:rsidRPr="00C316F8" w:rsidRDefault="00D961A3" w:rsidP="00727B5B">
            <w:pPr>
              <w:jc w:val="both"/>
              <w:rPr>
                <w:rFonts w:cstheme="minorHAnsi"/>
                <w:bCs/>
                <w:sz w:val="24"/>
                <w:szCs w:val="24"/>
              </w:rPr>
            </w:pPr>
            <w:r w:rsidRPr="00C316F8">
              <w:rPr>
                <w:rFonts w:cstheme="minorHAnsi"/>
                <w:bCs/>
                <w:sz w:val="24"/>
                <w:szCs w:val="24"/>
              </w:rPr>
              <w:t>ICC Department</w:t>
            </w:r>
          </w:p>
        </w:tc>
        <w:tc>
          <w:tcPr>
            <w:tcW w:w="0" w:type="auto"/>
          </w:tcPr>
          <w:p w14:paraId="5529A5F9" w14:textId="77777777" w:rsidR="00D961A3" w:rsidRPr="00C316F8" w:rsidRDefault="00D961A3" w:rsidP="00727B5B">
            <w:pPr>
              <w:jc w:val="both"/>
              <w:rPr>
                <w:rFonts w:cstheme="minorHAnsi"/>
                <w:sz w:val="24"/>
                <w:szCs w:val="24"/>
              </w:rPr>
            </w:pPr>
            <w:r w:rsidRPr="00C316F8">
              <w:rPr>
                <w:rFonts w:cstheme="minorHAnsi"/>
                <w:color w:val="000000"/>
                <w:sz w:val="24"/>
                <w:szCs w:val="24"/>
              </w:rPr>
              <w:t>0.0114192</w:t>
            </w:r>
          </w:p>
        </w:tc>
        <w:tc>
          <w:tcPr>
            <w:tcW w:w="0" w:type="auto"/>
          </w:tcPr>
          <w:p w14:paraId="39D122F0" w14:textId="77777777" w:rsidR="00D961A3" w:rsidRPr="00C316F8" w:rsidRDefault="00D961A3" w:rsidP="00727B5B">
            <w:pPr>
              <w:jc w:val="both"/>
              <w:rPr>
                <w:rFonts w:cstheme="minorHAnsi"/>
                <w:bCs/>
                <w:sz w:val="24"/>
                <w:szCs w:val="24"/>
              </w:rPr>
            </w:pPr>
          </w:p>
        </w:tc>
        <w:tc>
          <w:tcPr>
            <w:tcW w:w="0" w:type="auto"/>
          </w:tcPr>
          <w:p w14:paraId="27363718" w14:textId="77777777" w:rsidR="00D961A3" w:rsidRPr="00C316F8" w:rsidRDefault="00D961A3" w:rsidP="00727B5B">
            <w:pPr>
              <w:jc w:val="both"/>
              <w:rPr>
                <w:rFonts w:cstheme="minorHAnsi"/>
                <w:sz w:val="24"/>
                <w:szCs w:val="24"/>
              </w:rPr>
            </w:pPr>
            <w:r w:rsidRPr="00C316F8">
              <w:rPr>
                <w:rFonts w:cstheme="minorHAnsi"/>
                <w:color w:val="000000"/>
                <w:sz w:val="24"/>
                <w:szCs w:val="24"/>
              </w:rPr>
              <w:t>0.0067-0.02</w:t>
            </w:r>
          </w:p>
        </w:tc>
      </w:tr>
      <w:tr w:rsidR="00D961A3" w:rsidRPr="00C316F8" w14:paraId="20049E9A" w14:textId="77777777" w:rsidTr="00727B5B">
        <w:tc>
          <w:tcPr>
            <w:tcW w:w="0" w:type="auto"/>
          </w:tcPr>
          <w:p w14:paraId="34A218C5" w14:textId="77777777" w:rsidR="00D961A3" w:rsidRPr="00C316F8" w:rsidRDefault="00D961A3" w:rsidP="00727B5B">
            <w:pPr>
              <w:jc w:val="both"/>
              <w:rPr>
                <w:rFonts w:cstheme="minorHAnsi"/>
                <w:bCs/>
                <w:sz w:val="24"/>
                <w:szCs w:val="24"/>
              </w:rPr>
            </w:pPr>
            <w:r w:rsidRPr="00C316F8">
              <w:rPr>
                <w:rFonts w:cstheme="minorHAnsi"/>
                <w:bCs/>
                <w:sz w:val="24"/>
                <w:szCs w:val="24"/>
              </w:rPr>
              <w:t>MOR</w:t>
            </w:r>
          </w:p>
        </w:tc>
        <w:tc>
          <w:tcPr>
            <w:tcW w:w="0" w:type="auto"/>
          </w:tcPr>
          <w:p w14:paraId="499CFB62" w14:textId="77777777" w:rsidR="00D961A3" w:rsidRPr="00C316F8" w:rsidRDefault="00D961A3" w:rsidP="00727B5B">
            <w:pPr>
              <w:jc w:val="both"/>
              <w:rPr>
                <w:rFonts w:cstheme="minorHAnsi"/>
                <w:sz w:val="24"/>
                <w:szCs w:val="24"/>
              </w:rPr>
            </w:pPr>
            <w:r w:rsidRPr="00C316F8">
              <w:rPr>
                <w:rFonts w:cstheme="minorHAnsi"/>
                <w:sz w:val="24"/>
                <w:szCs w:val="24"/>
              </w:rPr>
              <w:t>1.2</w:t>
            </w:r>
          </w:p>
        </w:tc>
        <w:tc>
          <w:tcPr>
            <w:tcW w:w="0" w:type="auto"/>
          </w:tcPr>
          <w:p w14:paraId="2664B2D3" w14:textId="77777777" w:rsidR="00D961A3" w:rsidRPr="00C316F8" w:rsidRDefault="00D961A3" w:rsidP="00727B5B">
            <w:pPr>
              <w:jc w:val="both"/>
              <w:rPr>
                <w:rFonts w:cstheme="minorHAnsi"/>
                <w:bCs/>
                <w:sz w:val="24"/>
                <w:szCs w:val="24"/>
              </w:rPr>
            </w:pPr>
            <w:r w:rsidRPr="00C316F8">
              <w:rPr>
                <w:rFonts w:cstheme="minorHAnsi"/>
                <w:sz w:val="24"/>
                <w:szCs w:val="24"/>
              </w:rPr>
              <w:t>&lt;0.0005</w:t>
            </w:r>
          </w:p>
        </w:tc>
        <w:tc>
          <w:tcPr>
            <w:tcW w:w="0" w:type="auto"/>
          </w:tcPr>
          <w:p w14:paraId="002D026D" w14:textId="77777777" w:rsidR="00D961A3" w:rsidRPr="00C316F8" w:rsidRDefault="00D961A3" w:rsidP="00727B5B">
            <w:pPr>
              <w:jc w:val="both"/>
              <w:rPr>
                <w:rFonts w:cstheme="minorHAnsi"/>
                <w:sz w:val="24"/>
                <w:szCs w:val="24"/>
              </w:rPr>
            </w:pPr>
            <w:r w:rsidRPr="00C316F8">
              <w:rPr>
                <w:rFonts w:cstheme="minorHAnsi"/>
                <w:sz w:val="24"/>
                <w:szCs w:val="24"/>
              </w:rPr>
              <w:t>1.13-1.28</w:t>
            </w:r>
          </w:p>
          <w:p w14:paraId="59C2C4CC" w14:textId="77777777" w:rsidR="00D961A3" w:rsidRPr="00C316F8" w:rsidRDefault="00D961A3" w:rsidP="00727B5B">
            <w:pPr>
              <w:jc w:val="both"/>
              <w:rPr>
                <w:rFonts w:cstheme="minorHAnsi"/>
                <w:sz w:val="24"/>
                <w:szCs w:val="24"/>
              </w:rPr>
            </w:pPr>
          </w:p>
        </w:tc>
      </w:tr>
      <w:tr w:rsidR="00D961A3" w:rsidRPr="00C316F8" w14:paraId="20FBB965" w14:textId="77777777" w:rsidTr="00727B5B">
        <w:tc>
          <w:tcPr>
            <w:tcW w:w="0" w:type="auto"/>
          </w:tcPr>
          <w:p w14:paraId="6C454FA9" w14:textId="77777777" w:rsidR="00D961A3" w:rsidRPr="00C316F8" w:rsidRDefault="00D961A3" w:rsidP="00727B5B">
            <w:pPr>
              <w:jc w:val="both"/>
              <w:rPr>
                <w:rFonts w:cstheme="minorHAnsi"/>
                <w:bCs/>
                <w:sz w:val="24"/>
                <w:szCs w:val="24"/>
              </w:rPr>
            </w:pPr>
            <w:r w:rsidRPr="00C316F8">
              <w:rPr>
                <w:rFonts w:cstheme="minorHAnsi"/>
                <w:bCs/>
                <w:sz w:val="24"/>
                <w:szCs w:val="24"/>
              </w:rPr>
              <w:t>Municipality variance</w:t>
            </w:r>
          </w:p>
        </w:tc>
        <w:tc>
          <w:tcPr>
            <w:tcW w:w="0" w:type="auto"/>
          </w:tcPr>
          <w:p w14:paraId="3A0DFECE" w14:textId="77777777" w:rsidR="00D961A3" w:rsidRPr="00C316F8" w:rsidRDefault="00D961A3" w:rsidP="00727B5B">
            <w:pPr>
              <w:jc w:val="both"/>
              <w:rPr>
                <w:rFonts w:cstheme="minorHAnsi"/>
                <w:bCs/>
                <w:sz w:val="24"/>
                <w:szCs w:val="24"/>
              </w:rPr>
            </w:pPr>
            <w:r w:rsidRPr="00C316F8">
              <w:rPr>
                <w:rFonts w:cstheme="minorHAnsi"/>
                <w:sz w:val="24"/>
                <w:szCs w:val="24"/>
              </w:rPr>
              <w:t>0.109</w:t>
            </w:r>
          </w:p>
        </w:tc>
        <w:tc>
          <w:tcPr>
            <w:tcW w:w="0" w:type="auto"/>
          </w:tcPr>
          <w:p w14:paraId="45F4FAC7" w14:textId="77777777" w:rsidR="00D961A3" w:rsidRPr="00C316F8" w:rsidRDefault="00D961A3" w:rsidP="00727B5B">
            <w:pPr>
              <w:jc w:val="both"/>
              <w:rPr>
                <w:rFonts w:cstheme="minorHAnsi"/>
                <w:bCs/>
                <w:sz w:val="24"/>
                <w:szCs w:val="24"/>
              </w:rPr>
            </w:pPr>
          </w:p>
        </w:tc>
        <w:tc>
          <w:tcPr>
            <w:tcW w:w="0" w:type="auto"/>
          </w:tcPr>
          <w:p w14:paraId="62458B3E" w14:textId="77777777" w:rsidR="00D961A3" w:rsidRPr="00C316F8" w:rsidRDefault="00D961A3" w:rsidP="00727B5B">
            <w:pPr>
              <w:jc w:val="both"/>
              <w:rPr>
                <w:rFonts w:cstheme="minorHAnsi"/>
                <w:bCs/>
                <w:sz w:val="24"/>
                <w:szCs w:val="24"/>
              </w:rPr>
            </w:pPr>
            <w:r w:rsidRPr="00C316F8">
              <w:rPr>
                <w:rFonts w:cstheme="minorHAnsi"/>
                <w:sz w:val="24"/>
                <w:szCs w:val="24"/>
              </w:rPr>
              <w:t>0.095-0.126</w:t>
            </w:r>
          </w:p>
        </w:tc>
      </w:tr>
      <w:tr w:rsidR="00D961A3" w:rsidRPr="00C316F8" w14:paraId="6C37BE7C" w14:textId="77777777" w:rsidTr="00727B5B">
        <w:tc>
          <w:tcPr>
            <w:tcW w:w="0" w:type="auto"/>
          </w:tcPr>
          <w:p w14:paraId="7404126F" w14:textId="77777777" w:rsidR="00D961A3" w:rsidRPr="00C316F8" w:rsidRDefault="00D961A3" w:rsidP="00727B5B">
            <w:pPr>
              <w:jc w:val="both"/>
              <w:rPr>
                <w:rFonts w:cstheme="minorHAnsi"/>
                <w:bCs/>
                <w:sz w:val="24"/>
                <w:szCs w:val="24"/>
              </w:rPr>
            </w:pPr>
            <w:r w:rsidRPr="00C316F8">
              <w:rPr>
                <w:rFonts w:cstheme="minorHAnsi"/>
                <w:bCs/>
                <w:sz w:val="24"/>
                <w:szCs w:val="24"/>
              </w:rPr>
              <w:t>ICC Municipality</w:t>
            </w:r>
          </w:p>
        </w:tc>
        <w:tc>
          <w:tcPr>
            <w:tcW w:w="0" w:type="auto"/>
          </w:tcPr>
          <w:p w14:paraId="5B4415BF" w14:textId="77777777" w:rsidR="00D961A3" w:rsidRPr="00C316F8" w:rsidRDefault="00D961A3" w:rsidP="00727B5B">
            <w:pPr>
              <w:jc w:val="both"/>
              <w:rPr>
                <w:rFonts w:cstheme="minorHAnsi"/>
                <w:color w:val="000000"/>
                <w:sz w:val="24"/>
                <w:szCs w:val="24"/>
              </w:rPr>
            </w:pPr>
            <w:r w:rsidRPr="00C316F8">
              <w:rPr>
                <w:rFonts w:cstheme="minorHAnsi"/>
                <w:color w:val="000000"/>
                <w:sz w:val="24"/>
                <w:szCs w:val="24"/>
              </w:rPr>
              <w:t>0.043</w:t>
            </w:r>
          </w:p>
        </w:tc>
        <w:tc>
          <w:tcPr>
            <w:tcW w:w="0" w:type="auto"/>
          </w:tcPr>
          <w:p w14:paraId="5E03301A" w14:textId="77777777" w:rsidR="00D961A3" w:rsidRPr="00C316F8" w:rsidRDefault="00D961A3" w:rsidP="00727B5B">
            <w:pPr>
              <w:jc w:val="both"/>
              <w:rPr>
                <w:rFonts w:cstheme="minorHAnsi"/>
                <w:bCs/>
                <w:sz w:val="24"/>
                <w:szCs w:val="24"/>
              </w:rPr>
            </w:pPr>
          </w:p>
        </w:tc>
        <w:tc>
          <w:tcPr>
            <w:tcW w:w="0" w:type="auto"/>
          </w:tcPr>
          <w:p w14:paraId="3B594EFB" w14:textId="77777777" w:rsidR="00D961A3" w:rsidRPr="00C316F8" w:rsidRDefault="00D961A3" w:rsidP="00727B5B">
            <w:pPr>
              <w:jc w:val="both"/>
              <w:rPr>
                <w:rFonts w:cstheme="minorHAnsi"/>
                <w:sz w:val="24"/>
                <w:szCs w:val="24"/>
              </w:rPr>
            </w:pPr>
          </w:p>
        </w:tc>
      </w:tr>
      <w:tr w:rsidR="00D961A3" w:rsidRPr="00C316F8" w14:paraId="0A2A77B7" w14:textId="77777777" w:rsidTr="00727B5B">
        <w:tc>
          <w:tcPr>
            <w:tcW w:w="0" w:type="auto"/>
          </w:tcPr>
          <w:p w14:paraId="319389F1" w14:textId="77777777" w:rsidR="00D961A3" w:rsidRPr="00C316F8" w:rsidRDefault="00D961A3" w:rsidP="00727B5B">
            <w:pPr>
              <w:jc w:val="both"/>
              <w:rPr>
                <w:rFonts w:cstheme="minorHAnsi"/>
                <w:bCs/>
                <w:sz w:val="24"/>
                <w:szCs w:val="24"/>
              </w:rPr>
            </w:pPr>
            <w:r w:rsidRPr="00C316F8">
              <w:rPr>
                <w:rFonts w:cstheme="minorHAnsi"/>
                <w:bCs/>
                <w:sz w:val="24"/>
                <w:szCs w:val="24"/>
              </w:rPr>
              <w:t>MOR</w:t>
            </w:r>
          </w:p>
        </w:tc>
        <w:tc>
          <w:tcPr>
            <w:tcW w:w="0" w:type="auto"/>
          </w:tcPr>
          <w:p w14:paraId="041FB5CD" w14:textId="77777777" w:rsidR="00D961A3" w:rsidRPr="00C316F8" w:rsidRDefault="00D961A3" w:rsidP="00727B5B">
            <w:pPr>
              <w:jc w:val="both"/>
              <w:rPr>
                <w:rFonts w:cstheme="minorHAnsi"/>
                <w:sz w:val="24"/>
                <w:szCs w:val="24"/>
              </w:rPr>
            </w:pPr>
            <w:r w:rsidRPr="00C316F8">
              <w:rPr>
                <w:rFonts w:cstheme="minorHAnsi"/>
                <w:sz w:val="24"/>
                <w:szCs w:val="24"/>
              </w:rPr>
              <w:t>1.37</w:t>
            </w:r>
          </w:p>
        </w:tc>
        <w:tc>
          <w:tcPr>
            <w:tcW w:w="0" w:type="auto"/>
          </w:tcPr>
          <w:p w14:paraId="4F8E2561" w14:textId="77777777" w:rsidR="00D961A3" w:rsidRPr="00C316F8" w:rsidRDefault="00D961A3" w:rsidP="00727B5B">
            <w:pPr>
              <w:jc w:val="both"/>
              <w:rPr>
                <w:rFonts w:cstheme="minorHAnsi"/>
                <w:bCs/>
                <w:sz w:val="24"/>
                <w:szCs w:val="24"/>
              </w:rPr>
            </w:pPr>
            <w:r w:rsidRPr="00C316F8">
              <w:rPr>
                <w:rFonts w:cstheme="minorHAnsi"/>
                <w:sz w:val="24"/>
                <w:szCs w:val="24"/>
              </w:rPr>
              <w:t>&lt;0.0005</w:t>
            </w:r>
          </w:p>
        </w:tc>
        <w:tc>
          <w:tcPr>
            <w:tcW w:w="0" w:type="auto"/>
          </w:tcPr>
          <w:p w14:paraId="1B3CE503" w14:textId="77777777" w:rsidR="00D961A3" w:rsidRPr="00C316F8" w:rsidRDefault="00D961A3" w:rsidP="00727B5B">
            <w:pPr>
              <w:jc w:val="both"/>
              <w:rPr>
                <w:rFonts w:cstheme="minorHAnsi"/>
                <w:sz w:val="24"/>
                <w:szCs w:val="24"/>
              </w:rPr>
            </w:pPr>
            <w:r w:rsidRPr="00C316F8">
              <w:rPr>
                <w:rFonts w:cstheme="minorHAnsi"/>
                <w:sz w:val="24"/>
                <w:szCs w:val="24"/>
              </w:rPr>
              <w:t>1.34-1.40</w:t>
            </w:r>
          </w:p>
        </w:tc>
      </w:tr>
      <w:tr w:rsidR="00D961A3" w:rsidRPr="00C316F8" w14:paraId="07C9A11C" w14:textId="77777777" w:rsidTr="00727B5B">
        <w:tc>
          <w:tcPr>
            <w:tcW w:w="0" w:type="auto"/>
          </w:tcPr>
          <w:p w14:paraId="1A3F4FDF" w14:textId="77777777" w:rsidR="00D961A3" w:rsidRPr="00C316F8" w:rsidRDefault="00D961A3" w:rsidP="00727B5B">
            <w:pPr>
              <w:jc w:val="both"/>
              <w:rPr>
                <w:rFonts w:cstheme="minorHAnsi"/>
                <w:bCs/>
                <w:sz w:val="24"/>
                <w:szCs w:val="24"/>
              </w:rPr>
            </w:pPr>
            <w:r w:rsidRPr="00C316F8">
              <w:rPr>
                <w:rFonts w:cstheme="minorHAnsi"/>
                <w:bCs/>
                <w:sz w:val="24"/>
                <w:szCs w:val="24"/>
              </w:rPr>
              <w:t>AIC</w:t>
            </w:r>
          </w:p>
        </w:tc>
        <w:tc>
          <w:tcPr>
            <w:tcW w:w="0" w:type="auto"/>
          </w:tcPr>
          <w:p w14:paraId="09E7CDD2" w14:textId="77777777" w:rsidR="00D961A3" w:rsidRPr="00C316F8" w:rsidRDefault="00D961A3" w:rsidP="00727B5B">
            <w:pPr>
              <w:jc w:val="both"/>
              <w:rPr>
                <w:rFonts w:cstheme="minorHAnsi"/>
                <w:sz w:val="24"/>
                <w:szCs w:val="24"/>
              </w:rPr>
            </w:pPr>
            <w:r w:rsidRPr="00C316F8">
              <w:rPr>
                <w:rFonts w:cstheme="minorHAnsi"/>
                <w:color w:val="000000"/>
                <w:sz w:val="24"/>
                <w:szCs w:val="24"/>
              </w:rPr>
              <w:t>995246.7</w:t>
            </w:r>
          </w:p>
        </w:tc>
        <w:tc>
          <w:tcPr>
            <w:tcW w:w="0" w:type="auto"/>
          </w:tcPr>
          <w:p w14:paraId="1CCFA06C" w14:textId="77777777" w:rsidR="00D961A3" w:rsidRPr="00C316F8" w:rsidRDefault="00D961A3" w:rsidP="00727B5B">
            <w:pPr>
              <w:jc w:val="both"/>
              <w:rPr>
                <w:rFonts w:cstheme="minorHAnsi"/>
                <w:bCs/>
                <w:sz w:val="24"/>
                <w:szCs w:val="24"/>
              </w:rPr>
            </w:pPr>
          </w:p>
        </w:tc>
        <w:tc>
          <w:tcPr>
            <w:tcW w:w="0" w:type="auto"/>
          </w:tcPr>
          <w:p w14:paraId="644A0C60" w14:textId="77777777" w:rsidR="00D961A3" w:rsidRPr="00C316F8" w:rsidRDefault="00D961A3" w:rsidP="00727B5B">
            <w:pPr>
              <w:jc w:val="both"/>
              <w:rPr>
                <w:rFonts w:cstheme="minorHAnsi"/>
                <w:sz w:val="24"/>
                <w:szCs w:val="24"/>
              </w:rPr>
            </w:pPr>
          </w:p>
        </w:tc>
      </w:tr>
    </w:tbl>
    <w:p w14:paraId="0074C120" w14:textId="77777777" w:rsidR="003B4F37" w:rsidRPr="00C316F8" w:rsidRDefault="003B4F37" w:rsidP="003B4F37">
      <w:pPr>
        <w:jc w:val="both"/>
        <w:rPr>
          <w:rFonts w:eastAsia="Calibri" w:cstheme="minorHAnsi"/>
          <w:sz w:val="24"/>
          <w:szCs w:val="24"/>
          <w:lang w:val="es-CO"/>
        </w:rPr>
      </w:pPr>
      <w:r w:rsidRPr="00C316F8">
        <w:rPr>
          <w:rFonts w:eastAsia="Calibri" w:cstheme="minorHAnsi"/>
          <w:sz w:val="24"/>
          <w:szCs w:val="24"/>
          <w:lang w:val="es-CO"/>
        </w:rPr>
        <w:t>Fuente, elaboración propia.</w:t>
      </w:r>
    </w:p>
    <w:p w14:paraId="0B33E351" w14:textId="77777777" w:rsidR="00D961A3" w:rsidRPr="00C316F8" w:rsidRDefault="00D961A3" w:rsidP="00D961A3">
      <w:pPr>
        <w:jc w:val="both"/>
        <w:rPr>
          <w:rFonts w:cstheme="minorHAnsi"/>
          <w:bCs/>
          <w:sz w:val="24"/>
          <w:szCs w:val="24"/>
          <w:lang w:val="es-CO"/>
        </w:rPr>
      </w:pPr>
    </w:p>
    <w:p w14:paraId="60A445E2" w14:textId="6DE82675" w:rsidR="00D961A3" w:rsidRPr="00C316F8" w:rsidRDefault="003D695D" w:rsidP="00D961A3">
      <w:pPr>
        <w:pStyle w:val="Ttulo1"/>
      </w:pPr>
      <w:bookmarkStart w:id="77" w:name="_Toc229834675"/>
      <w:r w:rsidRPr="00C316F8">
        <w:t>7</w:t>
      </w:r>
      <w:r w:rsidR="00D961A3" w:rsidRPr="00C316F8">
        <w:t>.7</w:t>
      </w:r>
      <w:r w:rsidR="00D961A3" w:rsidRPr="00C316F8">
        <w:tab/>
        <w:t>DISCUSIÓN</w:t>
      </w:r>
      <w:bookmarkEnd w:id="77"/>
    </w:p>
    <w:p w14:paraId="1919D66E" w14:textId="77777777" w:rsidR="00D961A3" w:rsidRPr="00C316F8" w:rsidRDefault="00D961A3" w:rsidP="00D961A3"/>
    <w:p w14:paraId="0F43FFF2" w14:textId="0C2AEEBB" w:rsidR="00D961A3" w:rsidRPr="00C316F8" w:rsidRDefault="00D961A3" w:rsidP="00D961A3">
      <w:pPr>
        <w:jc w:val="both"/>
        <w:rPr>
          <w:rFonts w:cstheme="minorHAnsi"/>
          <w:sz w:val="24"/>
          <w:szCs w:val="24"/>
          <w:lang w:val="es-CO"/>
        </w:rPr>
      </w:pPr>
      <w:r w:rsidRPr="00C316F8">
        <w:rPr>
          <w:rFonts w:cstheme="minorHAnsi"/>
          <w:sz w:val="24"/>
          <w:szCs w:val="24"/>
          <w:lang w:val="es-CO"/>
        </w:rPr>
        <w:t>Este estudio evalúa la respuesta frente a la pandemia de COVID-19 en Colombia, con un enfoque particular en las comunidades afrocolombianas e indígenas, así como en las regiones ZOMAC y PDET, históricamente afectadas por el conflicto armado y el desplazamiento forzado. Estas poblaciones, caracterizadas por vulnerabilidades estructurales derivadas del acceso limitado a servicios de salud y condiciones socioeconómicas adversas, enfrentaron una precariedad aún mayor durante la crisis sanitaria</w:t>
      </w:r>
      <w:r w:rsidRPr="00C316F8">
        <w:rPr>
          <w:rFonts w:cstheme="minorHAnsi"/>
          <w:bCs/>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{"citationID":"378neK3J","properties":{"formattedCitation":"(11,121)","plainCitation":"(11,121)","noteIndex":0},"citationItems":[{"id":1637,"uris":["http://zotero.org/users/5785509/items/8TG9IRQH"],"itemData":{"id":1637,"type":"article-journal","container-title":"Conflict and health","ISSN":"1752-1505","issue":"1","journalAbbreviation":"Conflict and health","page":"37","publisher":"Springer","title":"The effect of COVID-19 on the non-COVID health outcomes of crisis-affected peoples: a systematic review","volume":"18","author":[{"family":"Thompson","given":"N"},{"family":"Kyaw","given":"KWY"},{"family":"Singh","given":"L"},{"family":"Cikomola","given":"JC"},{"family":"Singh","given":"NS"},{"family":"Roberts","given":"Bayard"}],"issued":{"date-parts":[["2024"]]}}},{"id":1468,"uris":["http://zotero.org/users/5785509/items/NL6PRS98"],"itemData":{"id":1468,"type":"article-journal","container-title":"CEPAL Review","ISSN":"1684-0348","issue":"134","journalAbbreviation":"CEPAL Review","page":"33-54","publisher":"United Nations","title":"Ethnicity and social exclusion in Colombia in 2012–2017","volume":"2021","author":[{"family":"Benavides","given":"Edinson Ortiz"},{"family":"Velásquez","given":"José Javier Núñez"}],"issued":{"date-parts":[["2022"]]}}}],"schema":"https://github.com/citation-style-language/schema/raw/master/csl-citation.json"}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(11,121)</w:t>
      </w:r>
      <w:r w:rsidRPr="00C316F8">
        <w:rPr>
          <w:rFonts w:cstheme="minorHAnsi"/>
          <w:sz w:val="24"/>
          <w:szCs w:val="24"/>
        </w:rPr>
        <w:fldChar w:fldCharType="end"/>
      </w:r>
      <w:r w:rsidRPr="00C316F8">
        <w:rPr>
          <w:rFonts w:cstheme="minorHAnsi"/>
          <w:sz w:val="24"/>
          <w:szCs w:val="24"/>
          <w:lang w:val="es-CO"/>
        </w:rPr>
        <w:t xml:space="preserve">. Los hallazgos de este estudio revelan disparidades significativas en la mortalidad por COVID-19 en Colombia, poniendo en evidencia cómo los factores étnicos, socioeconómicos y territoriales han influido en los desenlaces de la pandemia. En particular, se observa que la pobreza multidimensional ha incrementado las tasas de mortalidad. Los grupos </w:t>
      </w:r>
      <w:r w:rsidR="005D24F0" w:rsidRPr="00C316F8">
        <w:rPr>
          <w:rFonts w:cstheme="minorHAnsi"/>
          <w:sz w:val="24"/>
          <w:szCs w:val="24"/>
          <w:lang w:val="es-CO"/>
        </w:rPr>
        <w:t>afrocolombianos</w:t>
      </w:r>
      <w:r w:rsidRPr="00C316F8">
        <w:rPr>
          <w:rFonts w:cstheme="minorHAnsi"/>
          <w:sz w:val="24"/>
          <w:szCs w:val="24"/>
          <w:lang w:val="es-CO"/>
        </w:rPr>
        <w:t xml:space="preserve"> e </w:t>
      </w:r>
      <w:r w:rsidR="005D24F0" w:rsidRPr="00C316F8">
        <w:rPr>
          <w:rFonts w:cstheme="minorHAnsi"/>
          <w:sz w:val="24"/>
          <w:szCs w:val="24"/>
          <w:lang w:val="es-CO"/>
        </w:rPr>
        <w:t>indígenas</w:t>
      </w:r>
      <w:r w:rsidRPr="00C316F8">
        <w:rPr>
          <w:rFonts w:cstheme="minorHAnsi"/>
          <w:sz w:val="24"/>
          <w:szCs w:val="24"/>
          <w:lang w:val="es-CO"/>
        </w:rPr>
        <w:t xml:space="preserve">, junto con los municipios ubicados en las zonas ZOMAC </w:t>
      </w:r>
      <w:r w:rsidRPr="00C316F8">
        <w:rPr>
          <w:rFonts w:cstheme="minorHAnsi"/>
          <w:sz w:val="24"/>
          <w:szCs w:val="24"/>
          <w:lang w:val="es-CO"/>
        </w:rPr>
        <w:lastRenderedPageBreak/>
        <w:t>y PDET, presentan puntajes elevados en el índice CMPI, los cuales se correlacionan con un mayor riesgo de mortalidad.</w:t>
      </w:r>
    </w:p>
    <w:p w14:paraId="3EBEB36B" w14:textId="7C0788AC" w:rsidR="00D961A3" w:rsidRPr="00C316F8" w:rsidRDefault="00D961A3" w:rsidP="00D961A3">
      <w:pPr>
        <w:jc w:val="both"/>
        <w:rPr>
          <w:rFonts w:cstheme="minorHAnsi"/>
          <w:sz w:val="24"/>
          <w:szCs w:val="24"/>
          <w:lang w:val="es-CO"/>
        </w:rPr>
      </w:pPr>
      <w:r w:rsidRPr="00C316F8">
        <w:rPr>
          <w:rFonts w:cstheme="minorHAnsi"/>
          <w:sz w:val="24"/>
          <w:szCs w:val="24"/>
          <w:lang w:val="es-CO"/>
        </w:rPr>
        <w:t>En concordancia con la literatura, este estudio confirma que la edad y el sexo son determinantes clave de la mortalidad por COVID-19. A medida que aumenta la edad, la probabilidad de mortalidad se incrementa de manera significativa. De igual forma, el análisis reveló que los hombres presentan un mayor riesgo de mortalidad en comparación con las mujeres, lo que pone de manifiesto una notable disparidad de género en los desenlaces de la pandemia</w:t>
      </w:r>
      <w:r w:rsidR="003B4F37"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h1DpmdtR","properties":{"formattedCitation":"(122,123)","plainCitation":"(122,123)","noteIndex":0},"citationItems":[{"id":1638,"uris":["http://zotero.org/users/5785509/items/LH4TWUVR"],"itemData":{"id":1638,"type":"article-journal","container-title":"Metabolism","DOI":"10.1016/j.metabol.2020.154262","ISSN":"00260495","journalAbbreviation":"Metabolism","language":"en","page":"154262","source":"DOI.org (Crossref)","title":"Severe obesity, increasing age and male sex are independently associated with worse in-hospital outcomes, and higher in-hospital mortality, in a cohort of patients with COVID-19 in the Bronx, New York","URL":"https://linkinghub.elsevier.com/retrieve/pii/S0026049520301268","volume":"108","author":[{"family":"Palaiodimos","given":"Leonidas"},{"family":"Kokkinidis","given":"Damianos G."},{"family":"Li","given":"Weijia"},{"family":"Karamanis","given":"Dimitrios"},{"family":"Ognibene","given":"Jennifer"},{"family":"Arora","given":"Shitij"},{"family":"Southern","given":"William N."},{"family":"Mantzoros","given":"Christos S."}],"accessed":{"date-parts":[["2024",8,17]]},"issued":{"date-parts":[["2020",7]]}}},{"id":1640,"uris":["http://zotero.org/users/5785509/items/Y58IK5FE"],"itemData":{"id":1640,"type":"article-journal","container-title":"Aging","DOI":"10.18632/aging.202639","ISSN":"1945-4589","issue":"3","journalAbbreviation":"Aging","language":"en","page":"3190-3201","source":"DOI.org (Crossref)","title":"The age pattern of the male-to-female ratio in mortality from COVID-19 mirrors that of cardiovascular disease in the general population","URL":"https://www.aging-us.com/lookup/doi/10.18632/aging.202639","volume":"13","author":[{"family":"Nimgaonkar","given":"Ila"},{"family":"Valeri","given":"Linda"},{"family":"Susser","given":"Ezra"},{"family":"Hussain","given":"Sabiha"},{"family":"Sunderram","given":"Jag"},{"family":"Aviv","given":"Abraham"}],"accessed":{"date-parts":[["2024",8,17]]},"issued":{"date-parts":[["2021",2,15]]}}}],"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(122,123)</w:t>
      </w:r>
      <w:r w:rsidRPr="00C316F8">
        <w:rPr>
          <w:rFonts w:cstheme="minorHAnsi"/>
          <w:sz w:val="24"/>
          <w:szCs w:val="24"/>
        </w:rPr>
        <w:fldChar w:fldCharType="end"/>
      </w:r>
    </w:p>
    <w:p w14:paraId="34F5D4CE" w14:textId="3834F54E" w:rsidR="00D961A3" w:rsidRPr="00C316F8" w:rsidRDefault="00D961A3" w:rsidP="00D961A3">
      <w:pPr>
        <w:jc w:val="both"/>
        <w:rPr>
          <w:rFonts w:cstheme="minorHAnsi"/>
          <w:sz w:val="24"/>
          <w:szCs w:val="24"/>
          <w:lang w:val="es-CO"/>
        </w:rPr>
      </w:pPr>
      <w:r w:rsidRPr="00C316F8">
        <w:rPr>
          <w:rFonts w:cstheme="minorHAnsi"/>
          <w:sz w:val="24"/>
          <w:szCs w:val="24"/>
          <w:lang w:val="es-CO"/>
        </w:rPr>
        <w:t>Según los resultados del estudio, las personas identificadas como afrocolombianas e indígenas presentan un aumento del 10% y 18%, respectivamente, en la probabilidad de mortalidad por COVID-19 en comparación con las personas blanco-mestizas. En el caso de la población afrocolombiana, este hallazgo coincide con lo observado en países como Brasil y Estados Unidos, donde la población afrodescendiente ha experimentado un impacto desproporcionado frente al COVID-19, con tasas significativamente más altas de hospitalización y mortalidad en comparación con otros grupos étnicos. Esta situación puede explicarse por la vulnerabilidad social preexistente que enfrentaban antes de la pandemia; además, esta población presenta comorbilidades en salud que contribuyen a profundizar las desigualdades que padecen</w:t>
      </w:r>
      <w:r w:rsidR="003B4F37"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hfh4IWeY","properties":{"formattedCitation":"(124\\uc0\\u8211{}127)","plainCitation":"(124–127)","noteIndex":0},"citationItems":[{"id":1642,"uris":["http://zotero.org/users/5785509/items/VYHD2385"],"itemData":{"id":1642,"type":"article-journal","container-title":"Journal of Racial and Ethnic Health Disparities","ISSN":"2197-3792","journalAbbreviation":"Journal of Racial and Ethnic Health Disparities","page":"1-9","publisher":"Springer","title":"Cause of Death by Race and Ethnicity in Minnesota Before and During the COVID-19 Pandemic, 2019–2020","author":[{"family":"Blake","given":"Madelyn J"},{"family":"Marka","given":"Nicholas A"},{"family":"Steer","given":"Clifford J"},{"family":"Ravdin","given":"Jonathan I"}],"issued":{"date-parts":[["2023"]]}}},{"id":1505,"uris":["http://zotero.org/users/5785509/items/YH2SPRWE"],"itemData":{"id":1505,"type":"article-journal","container-title":"Infectious Diseases of Poverty","ISSN":"2095-5162","issue":"04","journalAbbreviation":"Infectious Diseases of Poverty","page":"50-59","publisher":"Editorial Office of Infectious Diseases of Poverty, National Institute of …","title":"Human development, social vulnerability and COVID-19 in Brazil: a study of the social determinants of health","volume":"9","author":[{"family":"Souza","given":"Carlos Dornels Freire","non-dropping-particle":"de"},{"family":"Machado","given":"Michael Ferreira"},{"family":"Carmo","given":"Rodrigo Feliciano","non-dropping-particle":"do"}],"issued":{"date-parts":[["2020"]]}}},{"id":1504,"uris":["http://zotero.org/users/5785509/items/UEHQYMV8"],"itemData":{"id":1504,"type":"article-journal","container-title":"Neurology in migrants and refugees","ISSN":"3030810577","journalAbbreviation":"Neurology in migrants and refugees","page":"153-163","publisher":"Springer","title":"The devastating effects of the COVID-19 pandemic among ethnic minorities, migrants, and refugees","author":[{"family":"Navarro-Román","given":"Lydia"},{"family":"Román","given":"Gustavo C"}],"issued":{"date-parts":[["2022"]]}}},{"id":1507,"uris":["http://zotero.org/users/5785509/items/WZ3YU2QA"],"itemData":{"id":1507,"type":"webpage","title":"DANE - Serie - Notas Estadísticas CASEN","URL":"https://www.dane.gov.co/index.php/servicios-al-ciudadano/servicios-informacion/serie-notas-estadisticas-casen?highlight=WyJjb3ZpZCIsImNvdmVyIiwiYWZyb2NvbG9tYmlhbmEiLCJhZnJvY29sb21iaWFub3MiLCJhZnJvY29sb21iaWFuYXMiLCJhZnJvY29sb21iaWFubyJd","accessed":{"date-parts":[["2024",4,23]]}}}],"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szCs w:val="24"/>
          <w:lang w:val="es-CO"/>
        </w:rPr>
        <w:t>(124–127)</w:t>
      </w:r>
      <w:r w:rsidRPr="00C316F8">
        <w:rPr>
          <w:rFonts w:cstheme="minorHAnsi"/>
          <w:sz w:val="24"/>
          <w:szCs w:val="24"/>
        </w:rPr>
        <w:fldChar w:fldCharType="end"/>
      </w:r>
    </w:p>
    <w:p w14:paraId="55F1C0DF" w14:textId="536EE1C4"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La población indígena también se encuentra en una posición de vulnerabilidad frente a la infección por COVID-19. Su probabilidad de vivir en condiciones de pobreza es tres veces mayor que la de las personas no indígenas. Uno de los factores que contribuyen al aumento de la mortalidad es la dificultad para cumplir con las medidas de distanciamiento social, lo que incrementa el riesgo de contagio. Asimismo, las condiciones de salud preexistentes, la nutrición, el hacinamiento y las condiciones laborales influyen en las tasas de infección y mortalidad. El ochenta y seis por ciento de la población indígena trabaja en el sector informal, donde los bajos ingresos y la falta de seguridad social desempeñan un papel determinante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{"citationID":"rqXy5dId","properties":{"formattedCitation":"(128)","plainCitation":"(128)","noteIndex":0},"citationItems":[{"id":1498,"uris":["http://zotero.org/users/5785509/items/KHZ7Q6CI"],"itemData":{"id":1498,"type":"article-journal","container-title":"Environmental Research Letters","ISSN":"1748-9326","issue":"3","journalAbbreviation":"Environmental Research Letters","page":"033001","publisher":"IOP Publishing","title":"Indigenous peoples and the COVID-19 pandemic: a systematic scoping review","volume":"18","author":[{"family":"Pickering","given":"Kerrie"},{"family":"Galappaththi","given":"Eranga K"},{"family":"Ford","given":"James D"},{"family":"Singh","given":"Chandni"},{"family":"Zavaleta-Cortijo","given":"Carol"},{"family":"Hyams","given":"Keith"},{"family":"Miranda","given":"J Jaime"},{"family":"Arotoma-Rojas","given":"Ingrid"},{"family":"Togarepi","given":"Cecil"},{"family":"Kaur","given":"Harpreet"}],"issued":{"date-parts":[["2023"]]}}}],"schema":"https://github.com/citation-style-language/schema/raw/master/csl-citation.json"}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(128)</w:t>
      </w:r>
      <w:r w:rsidRPr="00C316F8">
        <w:rPr>
          <w:rFonts w:cstheme="minorHAnsi"/>
          <w:sz w:val="24"/>
          <w:szCs w:val="24"/>
        </w:rPr>
        <w:fldChar w:fldCharType="end"/>
      </w:r>
      <w:r w:rsidRPr="00C316F8">
        <w:rPr>
          <w:rFonts w:cstheme="minorHAnsi"/>
          <w:sz w:val="24"/>
          <w:szCs w:val="24"/>
          <w:lang w:val="es-CO"/>
        </w:rPr>
        <w:t>. Nuestros hallazgos coinciden con lo reportado en otros estudios; por ejemplo, se han documentado tasas más altas de mortalidad por COVID-19 en esta población en países como Brasil, mientras que en Chile se ha demostrado su vulnerabilidad y el aumento de la mortalidad. Disparidades similares también han sido observadas en el Reino Unido y en los Estados Unidos</w:t>
      </w:r>
      <w:r w:rsidR="003B4F37"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NGSu6f6R","properties":{"formattedCitation":"(13,129,130)","plainCitation":"(13,129,130)","noteIndex":0},"citationItems":[{"id":1500,"uris":["http://zotero.org/users/5785509/items/AJP62NDH"],"itemData":{"id":1500,"type":"article-journal","container-title":"AlterNative: An International Journal of Indigenous Peoples","ISSN":"1177-1801","issue":"4","journalAbbreviation":"AlterNative: An International Journal of Indigenous Peoples","note":"publisher: SAGE Publications Sage UK: London, England","page":"399-402","title":"COVID-19 and Indigenous peoples in Chile: vulnerability to contagion and mortality","volume":"16","author":[{"family":"Millalen","given":"Pablo"},{"family":"Nahuelpan","given":"Hector"},{"family":"Hofflinger","given":"Alvaro"},{"family":"Martinez","given":"Edgars"}],"issued":{"date-parts":[["2020"]]}}},{"id":1503,"uris":["http://zotero.org/users/5785509/items/5SAFVVK9"],"itemData":{"id":1503,"type":"article-journal","container-title":"Frontiers in public health","ISSN":"2296-2565","journalAbbreviation":"Frontiers in public health","page":"743003","publisher":"Frontiers","title":"Differential impact of COVID-19 risk factors on ethnicities in the United States","volume":"9","author":[{"family":"Athavale","given":"Prashant"},{"family":"Kumar","given":"Vijay"},{"family":"Clark","given":"Jeremy"},{"family":"Mondal","given":"Sumona"},{"family":"Sur","given":"Shantanu"}],"issued":{"date-parts":[["2021"]]}}},{"id":1499,"uris":["http://zotero.org/users/5785509/items/74PHJ7FF"],"itemData":{"id":1499,"type":"article-journal","container-title":"Frontiers in psychiatry","ISSN":"1664-0640","journalAbbreviation":"Frontiers in psychiatry","page":"638359","publisher":"Frontiers Media SA","title":"Under-reporting of COVID-19 cases among indigenous peoples in Brazil: a new expression of old inequalities","volume":"12","author":[{"family":"Fellows","given":"Martha"},{"family":"Paye","given":"Valéria"},{"family":"Alencar","given":"Ane"},{"family":"Nicácio","given":"Mário"},{"family":"Castro","given":"Isabel"},{"family":"Coelho","given":"Maria Emília"},{"family":"Silva","given":"Camila VJ"},{"family":"Bandeira","given":"Matheus"},{"family":"Lourival","given":"Reinaldo"},{"family":"Basta","given":"Paulo Cesar"}],"issued":{"date-parts":[["2021"]]}}}],"schema":"https://github.com/citation-style-language/schema/raw/master/csl-citation.json"}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(13,129,130)</w:t>
      </w:r>
      <w:r w:rsidRPr="00C316F8">
        <w:rPr>
          <w:rFonts w:cstheme="minorHAnsi"/>
          <w:sz w:val="24"/>
          <w:szCs w:val="24"/>
        </w:rPr>
        <w:fldChar w:fldCharType="end"/>
      </w:r>
    </w:p>
    <w:p w14:paraId="36810347" w14:textId="464F4F5A"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Estos hallazgos también deben situarse dentro de un contexto histórico más amplio de desigualdades sistémicas arraigadas en el legado colonial de Colombia. Las comunidades indígenas y afrocolombianas han experimentado durante largo tiempo exclusión en la distribución de tierras, la participación política y el acceso equitativo a los servicios públicos, al tiempo que han soportado formas persistentes de discriminación y racismo. Su escasa visibilidad en el discurso público y en los procesos de justicia transicional refleja, además, una marginación profundamente enraizada que continúa configurando sus realidades. La </w:t>
      </w:r>
      <w:r w:rsidRPr="00C316F8">
        <w:rPr>
          <w:rFonts w:cstheme="minorHAnsi"/>
          <w:sz w:val="24"/>
          <w:szCs w:val="24"/>
          <w:lang w:val="es-CO"/>
        </w:rPr>
        <w:lastRenderedPageBreak/>
        <w:t>pandemia de COVID-19 exacerbó estas desigualdades estructurales, reforzando cómo las injusticias históricas siguen influyendo en los desenlaces en salud y en las vulnerabilidades sociales. En este contexto, los esfuerzos por promover la equidad en salud, la memoria y la justicia social deben incorporar perspectivas decoloniales y feministas que reconozcan las historias específicas y las experiencias vividas de estas poblaciones. Sin la adopción de estos marcos críticos, las intervenciones corren el riesgo de perpetuar los patrones históricos de exclusión en lugar de contribuir a su transformación</w:t>
      </w:r>
      <w:r w:rsidR="003B4F37"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{"citationID":"8neuZsYc","properties":{"formattedCitation":"(131)","plainCitation":"(131)","noteIndex":0},"citationItems":[{"id":1728,"uris":["http://zotero.org/users/5785509/items/GTGQAAQX"],"itemData":{"id":1728,"type":"article-journal","abstract":"The COVID-19 pandemic has made historical and contemporary colonial relationships between and within states more fraught. This complexity is apparent within the research process itself, adding a new dimension to debates on positionality and the politics of knowledge production. Drawing on critical approaches to International Relations, and in dialogue with an emerging literature on the implications of the pandemic for knowledge decolonization, we reflect on our experience as scholars from the UK/Ireland researching colonial legacy and Transitional Justice in Colombia. The aim of this autoethnographic article is to suggest how the COVID-19 pandemic affected inequalities between researchers based in Europe and participants in Latin America. Our findings are mixed. While Covid-related funding cuts undermined equity within relationships, the virtual field offered an opportunity to cultivate cooperation between researcher and participant and re-think issues of ethics, voice, and the research agenda itself. Finally, El Maestro Covid taught us valuable lessons on the colonial trap inherent in our endeavors.","container-title":"Latin American Perspectives","DOI":"10.1177/0094582X241311803","ISSN":"0094-582X, 1552-678X","issue":"1","journalAbbreviation":"Latin American Perspectives","language":"en","page":"106-125","source":"DOI.org (Crossref)","title":"Colombia, COVID-19, and the Colonial Trap: Reflections on the Politics of Knowledge Production","title-short":"Colombia, COVID-19, and the Colonial Trap","URL":"https://journals.sagepub.com/doi/10.1177/0094582X241311803","volume":"52","author":[{"family":"Rolston","given":"Bill"},{"family":"Ní Aoláin","given":"Fionnuala"},{"family":"Wright","given":"Claire"}],"accessed":{"date-parts":[["2025",4,27]]},"issued":{"date-parts":[["2025",1]]}}}],"schema":"https://github.com/citation-style-language/schema/raw/master/csl-citation.json"}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(131)</w:t>
      </w:r>
      <w:r w:rsidRPr="00C316F8">
        <w:rPr>
          <w:rFonts w:cstheme="minorHAnsi"/>
          <w:sz w:val="24"/>
          <w:szCs w:val="24"/>
        </w:rPr>
        <w:fldChar w:fldCharType="end"/>
      </w:r>
    </w:p>
    <w:p w14:paraId="0E679396"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t>En cuanto a las variables a nivel territorial, incluso un leve aumento en el índice CMPI se asocia con una probabilidad ligeramente mayor de mortalidad, como lo indica una OR de 1,003 (IC 95%: 1,0015–1,0056; p &lt; 0,0005). Este hallazgo resalta el papel crítico de la pobreza como determinante social de la salud. Además, vivir en zonas ZOMAC y PDET se asocia con un aumento del 11% y 13%, respectivamente, en la probabilidad de mortalidad en comparación con vivir en zonas no ZOMAC y no PDET. Esto indica que las áreas más afectadas por el conflicto y priorizadas para iniciativas de desarrollo territorial continúan enfrentando desafíos significativos en términos de resultados en salud.</w:t>
      </w:r>
    </w:p>
    <w:p w14:paraId="36959E56" w14:textId="21CEE2B0"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El conflicto armado en Colombia tuvo una duración aproximada de 52 años, dejando consecuencias negativas que afectaron la paz en todo el territorio nacional. Esta situación prolongada generó desafíos económicos, sociales y culturales, impactando de manera significativa las zonas rurales del país. La región fronteriza con Venezuela continúa enfrentando inseguridad y altos niveles de violencia ejercida por guerrillas, grupos paramilitares sucesores y organizaciones criminales. Tras la firma del Acuerdo de Paz en 2016, se logró una cesación parcial del conflicto armado, con un enfoque en la reducción de la violencia y en la gestión de la recuperación económica y social de las regiones afectadas. Este hito representó un paso importante hacia la estabilización y el mejoramiento del bienestar en las zonas impactadas, concentrando esfuerzos en superar los retos impuestos por el conflicto y en promover la recuperación y el desarrollo integral de estas comunidades. A pesar de las intervenciones gubernamentales, los municipios clasificados como ZOMAC y PDET enfrentan una mayor probabilidad de mortalidad asociada al COVID-19, debido a sistemas de salud debilitados, desplazamiento poblacional y acceso limitado a servicios básicos. Las tasas de letalidad evidencian la vulnerabilidad de estos territorios.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06Hy8ZBY","properties":{"formattedCitation":"(132\\uc0\\u8211{}134)","plainCitation":"(132–134)","noteIndex":0},"citationItems":[{"id":934,"uris":["http://zotero.org/users/5785509/items/M4TM7T9L"],"itemData":{"id":934,"type":"article-journal","container-title":"Journal of Latin American Geography","ISSN":"1548-5811","issue":"3","journalAbbreviation":"Journal of Latin American Geography","page":"280-288","publisher":"University of Texas Press","title":"Covid-19 in Colombia's Borderlands and the Western Hemisphere: Adding Instability to a Double Crisis","volume":"19","author":[{"family":"Idler","given":"Annette"},{"family":"Hochmüller","given":"Markus"}],"issued":{"date-parts":[["2020"]]}}},{"id":1633,"uris":["http://zotero.org/users/5785509/items/884F4TY8"],"itemData":{"id":1633,"type":"article-journal","container-title":"Conflict and health","ISSN":"1752-1505","issue":"1","journalAbbreviation":"Conflict and health","page":"4","publisher":"Springer","title":"Impact of the armed conflict in Colombia: consequences in the health system, response and challenges","volume":"18","author":[{"family":"Bernal","given":"Oscar"},{"family":"Garcia-Betancourt","given":"Tatiana"},{"family":"León-Giraldo","given":"Sebastián"},{"family":"Rodríguez","given":"Lina Marcela"},{"family":"González-Uribe","given":"Catalina"}],"issued":{"date-parts":[["2024"]]}}},{"id":920,"uris":["http://zotero.org/users/5785509/items/6W3ED5GB"],"itemData":{"id":920,"type":"article-journal","abstract":"&amp;lt;p&amp;gt;La reforma tributaria contenida en la Ley 1819 de 2016 y su decreto reglamentario 1650 de 2017, fueron relevantes en Colombia para la estructuración de un esquema fiscal con perspectiva del conflicto armado- toda vez que se definieron las Zonas más Afectadas por el Conflicto Armado (ZOMAC), como estrategia para reactivar las regiones que han sufrido las acciones negativas de los grupos armados al margen de la ley. El proceso de acuerdo de paz en Colombia busca la construcción de la paz territorial y ambiental, estimulando la creación de nuevas empresas o negocios, las ZOMAC, generando incentivos de tipo tributario específicamente en el impuesto sobre la renta y complementarios, por el hecho de iniciar actividades en estos municipios.&amp;lt;/p&amp;gt;&amp;lt;p&amp;gt;Esta investigación busca comprender los aspectos sociales y tributarios durante los años 2017 y 2018 en las ZOMAC. La investigación presentada es de tipo documental y se propone como un artículo de revisión. Se construyeron las categorías necesarias para el análisis e identificación de los trabajos efectuados en torno a las ZOMAC. De los 27 trabajos de investigación analizados se destaca, en primer lugar, que estos corresponden en un 59,26% a investigación formativa, corroborando el interés en estudiantes de pregrado, especialmente de la disciplina de contaduría; en segundo lugar, los conceptos con mayor importancia son: impuestos, renta, conflicto armado, posacuerdo, posconflicto, los sectores rurales que desarrollan actividades agrícolas y agropecuarias y aspectos sociales. Por último, la metodología que se presentó en las investigaciones documentadas corresponde en un 80% de los trabajos al enfoque cualitativo y de tipo descriptivo.&amp;lt;/p&amp;gt;","container-title":"Punto de vista","DOI":"10.15765/pdv.v12i17.1669","issue":"17","journalAbbreviation":"PDV","page":"49-62","section":"Artículos","title":"Aproximación al estado del arte de las ZOMAC en Colombia","URL":"https://journal.poligran.edu.co/index.php/puntodevista/article/view/1669","volume":"11","author":[{"family":"Lasso Silva","given":"Edel Rocío"},{"family":"Rojas Álvarez","given":"Sonia Patricia"},{"family":"Pinzón Sierra","given":"Duván Fernando"}],"accessed":{"date-parts":[["2023",12,9]]},"issued":{"date-parts":[["2020",11,13]]}}}],"schema":"https://github.com/citation-style-language/schema/raw/master/csl-citation.json"}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szCs w:val="24"/>
          <w:lang w:val="es-CO"/>
        </w:rPr>
        <w:t>(132–134)</w:t>
      </w:r>
      <w:r w:rsidRPr="00C316F8">
        <w:rPr>
          <w:rFonts w:cstheme="minorHAnsi"/>
          <w:sz w:val="24"/>
          <w:szCs w:val="24"/>
        </w:rPr>
        <w:fldChar w:fldCharType="end"/>
      </w:r>
    </w:p>
    <w:p w14:paraId="24E80F9A" w14:textId="5B1539E8"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Durante la pandemia de COVID-19, el conflicto armado en Colombia experimentó transformaciones significativas que reflejan tanto una desescalada temporal como la aparición de riesgos a largo plazo. Uno de los principales hallazgos fue la reducción de las hostilidades entre el Gobierno y el Ejército de Liberación Nacional (ELN) tras el cese al fuego unilateral declarado por este grupo en marzo de 2020, con el fin de proyectarse como un actor humanitario en medio de la crisis sanitaria. No obstante, la falta de un cese al fuego recíproco por parte del Gobierno colombiano —cuyos esfuerzos y recursos militares fueron redirigidos hacia la respuesta a la pandemia— evidenció una oportunidad perdida para </w:t>
      </w:r>
      <w:r w:rsidRPr="00C316F8">
        <w:rPr>
          <w:rFonts w:cstheme="minorHAnsi"/>
          <w:sz w:val="24"/>
          <w:szCs w:val="24"/>
          <w:lang w:val="es-CO"/>
        </w:rPr>
        <w:lastRenderedPageBreak/>
        <w:t xml:space="preserve">avanzar en un diálogo sostenido. Al mismo tiempo, la pandemia exacerbó desigualdades estructurales, como el aumento de la pobreza y el cierre de instituciones educativas, lo que facilitó el reclutamiento forzado de jóvenes por parte del ELN. Esto sugiere que, aunque la violencia armada disminuyó temporalmente, el deterioro de las condiciones sociales reforzó los factores subyacentes del conflicto. Además, el uso estratégico de la crisis por parte del ELN para fortalecer su legitimidad pública —a través de campañas de salud y distribución de ayuda— pone de manifiesto una lucha simbólica por el control territorial y la influencia política. En conjunto, estos hallazgos indican que la pandemia no transformó las raíces estructurales del conflicto, pero sí alteró sus manifestaciones, generando una apariencia de calma que en realidad oculta tensiones profundas con un alto potencial de resurgimiento.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{"citationID":"UqAPSZGY","properties":{"formattedCitation":"(6)","plainCitation":"(6)","noteIndex":0},"citationItems":[{"id":1723,"uris":["http://zotero.org/users/5785509/items/J7FWZHCA"],"itemData":{"id":1723,"type":"article-journal","container-title":"World Development","DOI":"10.1016/j.worlddev.2020.105355","ISSN":"0305750X","journalAbbreviation":"World Development","language":"en","page":"105355","source":"DOI.org (Crossref)","title":"COVID-19 and armed conflict","URL":"https://linkinghub.elsevier.com/retrieve/pii/S0305750X20304836","volume":"140","author":[{"family":"Ide","given":"Tobias"}],"accessed":{"date-parts":[["2025",4,18]]},"issued":{"date-parts":[["2021",4]]}}}],"schema":"https://github.com/citation-style-language/schema/raw/master/csl-citation.json"} </w:instrText>
      </w:r>
      <w:r w:rsidRPr="00C316F8">
        <w:rPr>
          <w:rFonts w:cstheme="minorHAnsi"/>
          <w:sz w:val="24"/>
          <w:szCs w:val="24"/>
        </w:rPr>
        <w:fldChar w:fldCharType="separate"/>
      </w:r>
      <w:r w:rsidR="00961D28" w:rsidRPr="00C316F8">
        <w:rPr>
          <w:rFonts w:ascii="Calibri" w:hAnsi="Calibri" w:cs="Calibri"/>
          <w:sz w:val="24"/>
          <w:lang w:val="es-CO"/>
        </w:rPr>
        <w:t>(6)</w:t>
      </w:r>
      <w:r w:rsidRPr="00C316F8">
        <w:rPr>
          <w:rFonts w:cstheme="minorHAnsi"/>
          <w:sz w:val="24"/>
          <w:szCs w:val="24"/>
        </w:rPr>
        <w:fldChar w:fldCharType="end"/>
      </w:r>
    </w:p>
    <w:p w14:paraId="75AB4FEC" w14:textId="1609D010" w:rsidR="00D961A3" w:rsidRPr="00C316F8" w:rsidRDefault="00D961A3" w:rsidP="00D961A3">
      <w:pPr>
        <w:jc w:val="both"/>
        <w:rPr>
          <w:rFonts w:cstheme="minorHAnsi"/>
          <w:sz w:val="24"/>
          <w:szCs w:val="24"/>
          <w:lang w:val="es-CO"/>
        </w:rPr>
      </w:pPr>
      <w:r w:rsidRPr="00C316F8">
        <w:rPr>
          <w:rFonts w:cstheme="minorHAnsi"/>
          <w:sz w:val="24"/>
          <w:szCs w:val="24"/>
          <w:lang w:val="es-CO"/>
        </w:rPr>
        <w:t>Las adaptaciones innovadoras en los sistemas de salud se han convertido en respuestas esenciales ante los desafíos que plantean los conflictos armados. Estrategias como la gestión descentralizada, los programas de trabajadores comunitarios en salud y el despliegue de unidades móviles han buscado mantener la prestación de servicios en condiciones altamente adversas. No obstante, las barreras persistentes —incluyendo la destrucción de infraestructura, la escasez de recursos y las amenazas constantes a la seguridad— siguen limitando gravemente el acceso efectivo a servicios esenciales en las regiones afectadas. Estas experiencias ponen de relieve no solo la resiliencia que requieren los sistemas de salud en contextos de crisis, sino también las profundas debilidades estructurales que restringen su capacidad de respuesta. Fortalecer los sistemas de salud en estos escenarios sigue siendo una prioridad crítica para lograr una recuperación sostenible y promover la equidad</w:t>
      </w:r>
      <w:r w:rsidR="003B4F37"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{"citationID":"wLixNV9A","properties":{"formattedCitation":"(135)","plainCitation":"(135)","noteIndex":0},"citationItems":[{"id":1727,"uris":["http://zotero.org/users/5785509/items/9YJY8BGT"],"itemData":{"id":1727,"type":"article-journal","abstract":"Abstract\n            \n              Objective\n              Armed conflicts cause substantial disruptions to health care systems, necessitating innovative approaches to crisis management. Systematic reviews play a critical role in evaluating adaptive health innovations implemented during such conflicts, shedding light on their impact on crisis management and health outcomes within affected communities.\n            \n            \n              Methods\n              Following the Preferred Reporting Items for Systematic Reviews and Meta-Analyses (PRISMA) guidelines, a systematic search in PubMed, Scopus, Cochrane Library, and Web of Science resulted in 5432 articles. The review covered studies published since 2000 that addressed crisis management innovations. A rigorous selection process based on PICO criteria was employed to include relevant high-quality studies.\n            \n            \n              Results\n              Following screening, 21 studies were identified, demonstrating considerable innovation in health systems in conflict-affected regions. The key innovations were decentralized management structures, community health worker programs, and mobile health units, all aimed at enhancing service delivery under difficult circumstances. In spite of this, persistent challenges like infrastructure destruction, limited resources, and security risks remain substantial obstacles to the availability of health care.\n            \n            \n              Discussion\n              Findings highlight the critical role played by resilient health systems in mitigating the negative effects related to armed conflicts. While some innovations are promising, problems like resource constraints, infrastructure destruction, and data collection challenges remain unresolved. The review’s strengths lie in its systematic nature and extensive coverage of the literature, while potential publication bias and language restrictions should be acknowledged as limitations.\n            \n            \n              Conclusions\n              The present review highlights the key role of adaptive health responses in crisis management and demands more research on their long-term effects and scalability. Future research must examine comparisons across a number of nations and utilize technology, including telemedicine and digital platforms, to strengthen health care resilience in areas impacted by conflict.","container-title":"Disaster Medicine and Public Health Preparedness","DOI":"10.1017/dmp.2025.100","ISSN":"1935-7893, 1938-744X","journalAbbreviation":"Disaster med. public health prep.","language":"en","license":"https://www.cambridge.org/core/terms","page":"e100","source":"DOI.org (Crossref)","title":"Adaptive Health Systems: Innovations in Crisis Management During Armed Conflicts","title-short":"Adaptive Health Systems","URL":"https://www.cambridge.org/core/product/identifier/S1935789325001004/type/journal_article","volume":"19","author":[{"family":"Sameri","given":"Maryam Jafar"},{"family":"Alizadeh","given":"Majid"},{"family":"Baghlani","given":"Fouad"},{"family":"Mahdavi","given":"Samireh"}],"accessed":{"date-parts":[["2025",4,27]]},"issued":{"date-parts":[["2025"]]}}}],"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(135)</w:t>
      </w:r>
      <w:r w:rsidRPr="00C316F8">
        <w:rPr>
          <w:rFonts w:cstheme="minorHAnsi"/>
          <w:sz w:val="24"/>
          <w:szCs w:val="24"/>
        </w:rPr>
        <w:fldChar w:fldCharType="end"/>
      </w:r>
    </w:p>
    <w:p w14:paraId="48260DCA"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t>La variabilidad entre municipios es significativa, con un coeficiente de correlación intraclase (ICC) que sugiere que el 4,3% de la variabilidad total del desenlace se debe a diferencias entre municipios, y una mediana de la razón de momios (MOR) de 1,37 que indica una disparidad considerable entre ellos. La variabilidad a nivel departamental, aunque menor, sigue siendo relevante, con un ICC de 1,1% y un MOR de 1,2. Estos resultados resaltan la necesidad de enfoques de salud pública que aborden no solo las características individuales y las disparidades étnicas, sino también los factores contextuales a nivel municipal y departamental. Las intervenciones dirigidas a áreas con altos niveles de pobreza y regiones afectadas por el conflicto deben ser priorizadas para reducir las desigualdades en salud y mejorar los resultados a nivel nacional.</w:t>
      </w:r>
    </w:p>
    <w:p w14:paraId="76EBDE5D"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Más allá de describir las disparidades identificadas en la mortalidad por COVID-19, es fundamental considerar los mecanismos subyacentes que podrían explicar estos desenlaces. Las desigualdades estructurales —arraigadas en la marginación histórica, la pobreza sistémica y el acceso restringido a servicios de salud de calidad— probablemente desempeñaron un papel central en la intensificación del impacto de la pandemia sobre las poblaciones afrocolombianas, indígenas y residentes en zonas afectadas por el conflicto </w:t>
      </w:r>
      <w:r w:rsidRPr="00C316F8">
        <w:rPr>
          <w:rFonts w:cstheme="minorHAnsi"/>
          <w:sz w:val="24"/>
          <w:szCs w:val="24"/>
          <w:lang w:val="es-CO"/>
        </w:rPr>
        <w:lastRenderedPageBreak/>
        <w:t>armado. El acceso limitado a servicios de atención primaria y preventiva pudo haber retrasado los diagnósticos y tratamientos, aumentando el riesgo de complicaciones graves. Asimismo, la mayor prevalencia de comorbilidades crónicas como hipertensión, diabetes y enfermedades respiratorias —condiciones fuertemente asociadas con los determinantes sociales de la salud— pudo haber incrementado la vulnerabilidad en estos grupos. Las disparidades territoriales, que incluyen déficits de infraestructura, escasez de personal sanitario y baja capacidad de respuesta del sistema de salud en las zonas ZOMAC y PDET, exacerbaron aún más el riesgo de desenlaces adversos. La interacción entre la privación socioeconómica, la discriminación étnica y los desplazamientos relacionados con el conflicto sugiere que la mortalidad por COVID-19 en Colombia no puede analizarse de manera aislada, sino que está profundamente entrelazada con injusticias sociales históricas. Por lo tanto, las estrategias futuras para mitigar los impactos de la pandemia deben integrar reformas estructurales orientadas a reducir las inequidades en salud, fortalecer la capacidad local de atención sanitaria y abordar los determinantes sociales que predisponen a ciertas poblaciones a una mayor mortalidad.</w:t>
      </w:r>
    </w:p>
    <w:p w14:paraId="51BE89C6" w14:textId="77777777" w:rsidR="00D961A3" w:rsidRPr="00C316F8" w:rsidRDefault="00D961A3" w:rsidP="00D961A3">
      <w:pPr>
        <w:jc w:val="both"/>
        <w:rPr>
          <w:rFonts w:cstheme="minorHAnsi"/>
          <w:sz w:val="24"/>
          <w:szCs w:val="24"/>
          <w:lang w:val="es-CO"/>
        </w:rPr>
      </w:pPr>
      <w:r w:rsidRPr="00C316F8">
        <w:rPr>
          <w:rFonts w:cstheme="minorHAnsi"/>
          <w:sz w:val="24"/>
          <w:szCs w:val="24"/>
          <w:lang w:val="es-CO"/>
        </w:rPr>
        <w:t>Para abordar las disparidades observadas en la mortalidad por COVID-19 entre las poblaciones afrocolombianas, indígenas y aquellas afectadas por el conflicto, se requieren intervenciones de política pública específicas. En primer lugar, debe priorizarse el fortalecimiento de las redes de atención primaria en los municipios ZOMAC y PDET, garantizando un mayor acceso a servicios de prevención, diagnóstico oportuno y manejo adecuado de enfermedades crónicas. La inversión en unidades móviles de salud y en estrategias de telesalud puede contribuir a superar barreras geográficas y mejorar la cobertura en zonas remotas y desatendidas. En segundo lugar, es necesario ampliar los programas de protección social focalizados —como transferencias monetarias condicionadas e iniciativas de seguridad alimentaria— para mitigar las vulnerabilidades socioeconómicas que aumentan los riesgos en salud durante emergencias sanitarias. En tercer lugar, deben desarrollarse campañas de salud pública culturalmente sensibles en colaboración con comunidades indígenas y afrocolombianas, con el objetivo de promover la confianza, mejorar la alfabetización en salud y fomentar comportamientos tempranos de búsqueda de atención. Finalmente, los programas de desarrollo en el marco del posconflicto deben incorporar un enfoque de equidad en salud, asegurando que los esfuerzos de construcción de paz aborden no solo la reconstrucción económica, sino también las desigualdades estructurales en salud que persisten en las regiones más afectadas. Estas medidas son fundamentales para reducir las inequidades en salud y construir resiliencia frente a futuras emergencias de salud pública.</w:t>
      </w:r>
    </w:p>
    <w:p w14:paraId="15B851AA" w14:textId="10BCB229" w:rsidR="00D961A3" w:rsidRPr="00C316F8" w:rsidRDefault="00D961A3" w:rsidP="00D961A3">
      <w:pPr>
        <w:jc w:val="both"/>
        <w:rPr>
          <w:rFonts w:cstheme="minorHAnsi"/>
          <w:sz w:val="24"/>
          <w:szCs w:val="24"/>
          <w:lang w:val="es-CO"/>
        </w:rPr>
      </w:pPr>
      <w:r w:rsidRPr="00C316F8">
        <w:rPr>
          <w:rFonts w:cstheme="minorHAnsi"/>
          <w:sz w:val="24"/>
          <w:szCs w:val="24"/>
          <w:lang w:val="es-CO"/>
        </w:rPr>
        <w:t xml:space="preserve">Una de las limitaciones de este estudio es el posible subregistro, tanto en la identificación de pertenencia étnica como en los casos de COVID-19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{"citationID":"TOUu3MiI","properties":{"formattedCitation":"(128)","plainCitation":"(128)","noteIndex":0},"citationItems":[{"id":1498,"uris":["http://zotero.org/users/5785509/items/KHZ7Q6CI"],"itemData":{"id":1498,"type":"article-journal","container-title":"Environmental Research Letters","ISSN":"1748-9326","issue":"3","journalAbbreviation":"Environmental Research Letters","page":"033001","publisher":"IOP Publishing","title":"Indigenous peoples and the COVID-19 pandemic: a systematic scoping review","volume":"18","author":[{"family":"Pickering","given":"Kerrie"},{"family":"Galappaththi","given":"Eranga K"},{"family":"Ford","given":"James D"},{"family":"Singh","given":"Chandni"},{"family":"Zavaleta-Cortijo","given":"Carol"},{"family":"Hyams","given":"Keith"},{"family":"Miranda","given":"J Jaime"},{"family":"Arotoma-Rojas","given":"Ingrid"},{"family":"Togarepi","given":"Cecil"},{"family":"Kaur","given":"Harpreet"}],"issued":{"date-parts":[["2023"]]}}}],"schema":"https://github.com/citation-style-language/schema/raw/master/csl-citation.json"}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(128)</w:t>
      </w:r>
      <w:r w:rsidRPr="00C316F8">
        <w:rPr>
          <w:rFonts w:cstheme="minorHAnsi"/>
          <w:sz w:val="24"/>
          <w:szCs w:val="24"/>
        </w:rPr>
        <w:fldChar w:fldCharType="end"/>
      </w:r>
      <w:r w:rsidRPr="00C316F8">
        <w:rPr>
          <w:rFonts w:cstheme="minorHAnsi"/>
          <w:sz w:val="24"/>
          <w:szCs w:val="24"/>
          <w:lang w:val="es-CO"/>
        </w:rPr>
        <w:t xml:space="preserve">, particularmente en las zonas ZOMAC. Esta situación puede atribuirse a la falta de recursos, infraestructura sanitaria adecuada o dificultades en la recolección de datos en regiones donde el acceso está </w:t>
      </w:r>
      <w:r w:rsidRPr="00C316F8">
        <w:rPr>
          <w:rFonts w:cstheme="minorHAnsi"/>
          <w:sz w:val="24"/>
          <w:szCs w:val="24"/>
          <w:lang w:val="es-CO"/>
        </w:rPr>
        <w:lastRenderedPageBreak/>
        <w:t xml:space="preserve">restringido debido a condiciones de inestabilidad. Por lo tanto, las cifras reportadas podrían no reflejar plenamente la realidad de estas comunidades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{"citationID":"DLafYEsS","properties":{"formattedCitation":"(136)","plainCitation":"(136)","noteIndex":0},"citationItems":[{"id":1635,"uris":["http://zotero.org/users/5785509/items/88QXXDNB"],"itemData":{"id":1635,"type":"article-journal","container-title":"Conflict and health","ISSN":"1752-1505","issue":"1","journalAbbreviation":"Conflict and health","page":"14","publisher":"Springer","title":"Addressing recall bias in (post-) conflict data collection and analysis: lessons from a large-scale health survey in Colombia","volume":"16","author":[{"family":"Moreno-Serra","given":"Rodrigo"},{"family":"Anaya-Montes","given":"Misael"},{"family":"León-Giraldo","given":"Sebastián"},{"family":"Bernal","given":"Oscar"}],"issued":{"date-parts":[["2022"]]}}}],"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(136)</w:t>
      </w:r>
      <w:r w:rsidRPr="00C316F8">
        <w:rPr>
          <w:rFonts w:cstheme="minorHAnsi"/>
          <w:sz w:val="24"/>
          <w:szCs w:val="24"/>
        </w:rPr>
        <w:fldChar w:fldCharType="end"/>
      </w:r>
      <w:r w:rsidRPr="00C316F8">
        <w:rPr>
          <w:rFonts w:cstheme="minorHAnsi"/>
          <w:sz w:val="24"/>
          <w:szCs w:val="24"/>
          <w:lang w:val="es-CO"/>
        </w:rPr>
        <w:t>. Adicionalmente, la ausencia de información sobre comorbilidades en estas poblaciones añade una capa adicional de complejidad a la interpretación de los resultados.</w:t>
      </w:r>
    </w:p>
    <w:p w14:paraId="5B21AD57" w14:textId="77777777" w:rsidR="00D961A3" w:rsidRPr="00C316F8" w:rsidRDefault="00D961A3" w:rsidP="00D961A3">
      <w:pPr>
        <w:jc w:val="both"/>
        <w:rPr>
          <w:rFonts w:eastAsia="Times New Roman" w:cstheme="minorHAnsi"/>
          <w:sz w:val="24"/>
          <w:szCs w:val="24"/>
          <w:lang w:val="es-CO" w:eastAsia="es-CO"/>
        </w:rPr>
      </w:pPr>
      <w:r w:rsidRPr="00C316F8">
        <w:rPr>
          <w:rFonts w:eastAsia="Times New Roman" w:cstheme="minorHAnsi"/>
          <w:sz w:val="24"/>
          <w:szCs w:val="24"/>
          <w:lang w:val="es-CO" w:eastAsia="es-CO"/>
        </w:rPr>
        <w:t>Además, el estudio carece de información sobre otros factores individuales críticos, como el estado de vacunación, la ocupación y el acceso a servicios de salud, los cuales podrían influir en los desenlaces relacionados con COVID-19. La ausencia de estas variables introduce la posibilidad de confusión residual que no pudo ser controlada en el análisis. Otra limitación radica en la dependencia de datos administrativos secundarios que, si bien son útiles para análisis a gran escala, pueden contener imprecisiones, datos faltantes o inconsistencias entre distintos territorios. En particular, los datos sobre etnicidad, basados en autodeclaración, pueden estar afectados por sesgos de clasificación, especialmente en contextos donde la identidad étnica tiende a subreportarse o registrarse de manera inconsistente.</w:t>
      </w:r>
    </w:p>
    <w:p w14:paraId="3603C07E" w14:textId="77777777" w:rsidR="00D961A3" w:rsidRPr="00C316F8" w:rsidRDefault="00D961A3" w:rsidP="00D961A3">
      <w:pPr>
        <w:jc w:val="both"/>
        <w:rPr>
          <w:rFonts w:eastAsia="Times New Roman" w:cstheme="minorHAnsi"/>
          <w:sz w:val="24"/>
          <w:szCs w:val="24"/>
          <w:lang w:val="es-CO" w:eastAsia="es-CO"/>
        </w:rPr>
      </w:pPr>
      <w:r w:rsidRPr="00C316F8">
        <w:rPr>
          <w:rFonts w:eastAsia="Times New Roman" w:cstheme="minorHAnsi"/>
          <w:sz w:val="24"/>
          <w:szCs w:val="24"/>
          <w:lang w:val="es-CO" w:eastAsia="es-CO"/>
        </w:rPr>
        <w:t>Adicionalmente, el uso de un diseño transversal limita la capacidad para establecer relaciones temporales o causales entre las variables de exposición y los desenlaces de mortalidad por COVID-19. Aunque se identifican asociaciones, no se puede inferir causalidad de manera concluyente. Asimismo, existe el riesgo de cometer una falacia ecológica, ya que los indicadores a nivel territorial, como el CMPI o la exposición al conflicto, se atribuyen de manera uniforme a los individuos, a pesar de que puede existir variabilidad intramunicipal.</w:t>
      </w:r>
    </w:p>
    <w:p w14:paraId="48FC6C1A" w14:textId="77777777" w:rsidR="00D961A3" w:rsidRPr="00C316F8" w:rsidRDefault="00D961A3" w:rsidP="00D961A3">
      <w:pPr>
        <w:jc w:val="both"/>
        <w:rPr>
          <w:rFonts w:cstheme="minorHAnsi"/>
          <w:sz w:val="24"/>
          <w:szCs w:val="24"/>
          <w:lang w:val="es-CO"/>
        </w:rPr>
      </w:pPr>
      <w:r w:rsidRPr="00C316F8">
        <w:rPr>
          <w:rFonts w:eastAsia="Times New Roman" w:cstheme="minorHAnsi"/>
          <w:sz w:val="24"/>
          <w:szCs w:val="24"/>
          <w:lang w:val="es-CO" w:eastAsia="es-CO"/>
        </w:rPr>
        <w:t>Por último, aunque se emplearon modelos multinivel para tener en cuenta la agrupación a nivel municipal y departamental, persiste la posibilidad de autocorrelación espacial no medida u otras fuentes de heterogeneidad no capturadas. Futuros estudios se beneficiarían del uso de diseños longitudinales, datos clínicos más detallados y una mayor resolución geográfica, con el fin de esclarecer mejor la compleja interacción entre etnicidad, pobreza, conflicto armado y desenlaces en salud.</w:t>
      </w:r>
    </w:p>
    <w:p w14:paraId="16CC027B" w14:textId="77777777" w:rsidR="00D961A3" w:rsidRPr="00C316F8" w:rsidRDefault="00D961A3" w:rsidP="00D961A3">
      <w:pPr>
        <w:jc w:val="both"/>
        <w:rPr>
          <w:rFonts w:cstheme="minorHAnsi"/>
          <w:bCs/>
          <w:sz w:val="24"/>
          <w:szCs w:val="24"/>
          <w:lang w:val="es-CO"/>
        </w:rPr>
      </w:pPr>
    </w:p>
    <w:p w14:paraId="2DF39F99" w14:textId="7FFA2366" w:rsidR="001C79C3" w:rsidRPr="00C316F8" w:rsidRDefault="001C79C3">
      <w:pPr>
        <w:rPr>
          <w:rFonts w:cstheme="minorHAnsi"/>
          <w:bCs/>
          <w:sz w:val="24"/>
          <w:szCs w:val="24"/>
          <w:lang w:val="es-CO"/>
        </w:rPr>
      </w:pPr>
      <w:r w:rsidRPr="00C316F8">
        <w:rPr>
          <w:rFonts w:cstheme="minorHAnsi"/>
          <w:bCs/>
          <w:sz w:val="24"/>
          <w:szCs w:val="24"/>
          <w:lang w:val="es-CO"/>
        </w:rPr>
        <w:br w:type="page"/>
      </w:r>
    </w:p>
    <w:p w14:paraId="2C146248" w14:textId="77777777" w:rsidR="0034155F" w:rsidRPr="00C316F8" w:rsidRDefault="0034155F" w:rsidP="003B711F">
      <w:pPr>
        <w:jc w:val="both"/>
        <w:rPr>
          <w:rFonts w:cstheme="minorHAnsi"/>
          <w:bCs/>
          <w:sz w:val="24"/>
          <w:szCs w:val="24"/>
          <w:lang w:val="es-CO"/>
        </w:rPr>
      </w:pPr>
    </w:p>
    <w:p w14:paraId="688D0303" w14:textId="4350D926" w:rsidR="00A66482" w:rsidRPr="00C316F8" w:rsidRDefault="00B46CED" w:rsidP="003D695D">
      <w:pPr>
        <w:pStyle w:val="Ttulo1"/>
        <w:numPr>
          <w:ilvl w:val="0"/>
          <w:numId w:val="2"/>
        </w:numPr>
        <w:rPr>
          <w:rFonts w:cstheme="minorHAnsi"/>
          <w:bCs/>
          <w:szCs w:val="24"/>
          <w:lang w:val="es-CO"/>
        </w:rPr>
      </w:pPr>
      <w:bookmarkStart w:id="78" w:name="_Toc229834676"/>
      <w:r w:rsidRPr="00C316F8">
        <w:rPr>
          <w:lang w:val="es-CO"/>
        </w:rPr>
        <w:t>CENTENARIOS EN COLOMBIA: UN ESTUDIO DE COHORTE POBLACIONAL SOBRE EL IMPACTO DEL COVID-19</w:t>
      </w:r>
      <w:bookmarkEnd w:id="78"/>
    </w:p>
    <w:p w14:paraId="492C62B1" w14:textId="77777777" w:rsidR="00B46CED" w:rsidRPr="00C316F8" w:rsidRDefault="00B46CED" w:rsidP="003B711F">
      <w:pPr>
        <w:jc w:val="both"/>
        <w:rPr>
          <w:rFonts w:cstheme="minorHAnsi"/>
          <w:bCs/>
          <w:sz w:val="24"/>
          <w:szCs w:val="24"/>
          <w:lang w:val="es-CO"/>
        </w:rPr>
      </w:pPr>
    </w:p>
    <w:p w14:paraId="1837E332" w14:textId="53E6442B" w:rsidR="005B5C75" w:rsidRPr="00C316F8" w:rsidRDefault="00B46CED" w:rsidP="00B46CED">
      <w:pPr>
        <w:pStyle w:val="Ttulo1"/>
        <w:rPr>
          <w:rFonts w:asciiTheme="minorHAnsi" w:hAnsiTheme="minorHAnsi"/>
          <w:lang w:val="es-CO"/>
        </w:rPr>
      </w:pPr>
      <w:bookmarkStart w:id="79" w:name="_Toc229834677"/>
      <w:r w:rsidRPr="00C316F8">
        <w:rPr>
          <w:lang w:val="es-CO"/>
        </w:rPr>
        <w:t>8.1 RESUMEN</w:t>
      </w:r>
      <w:bookmarkEnd w:id="79"/>
    </w:p>
    <w:p w14:paraId="676A000D" w14:textId="77777777" w:rsidR="00B46CED" w:rsidRPr="00C316F8" w:rsidRDefault="00B46CED" w:rsidP="003B711F">
      <w:pPr>
        <w:jc w:val="both"/>
        <w:rPr>
          <w:rFonts w:cstheme="minorHAnsi"/>
          <w:bCs/>
          <w:sz w:val="24"/>
          <w:szCs w:val="24"/>
          <w:lang w:val="es-CO"/>
        </w:rPr>
      </w:pPr>
    </w:p>
    <w:p w14:paraId="3313AA84" w14:textId="45D3C3D8" w:rsidR="005B5C75" w:rsidRPr="00C316F8" w:rsidRDefault="000A6A66" w:rsidP="003B711F">
      <w:pPr>
        <w:jc w:val="both"/>
        <w:rPr>
          <w:rFonts w:cstheme="minorHAnsi"/>
          <w:bCs/>
          <w:sz w:val="24"/>
          <w:szCs w:val="24"/>
          <w:lang w:val="es-CO"/>
        </w:rPr>
      </w:pPr>
      <w:r w:rsidRPr="00C316F8">
        <w:rPr>
          <w:rFonts w:cstheme="minorHAnsi"/>
          <w:bCs/>
          <w:sz w:val="24"/>
          <w:szCs w:val="24"/>
          <w:lang w:val="es-CO"/>
        </w:rPr>
        <w:t>Antecedentes</w:t>
      </w:r>
    </w:p>
    <w:p w14:paraId="14814A05" w14:textId="77777777" w:rsidR="005B5C75" w:rsidRPr="00C316F8" w:rsidRDefault="005B5C75" w:rsidP="003B711F">
      <w:pPr>
        <w:jc w:val="both"/>
        <w:rPr>
          <w:rFonts w:cstheme="minorHAnsi"/>
          <w:sz w:val="24"/>
          <w:szCs w:val="24"/>
          <w:lang w:val="es-CO"/>
        </w:rPr>
      </w:pPr>
      <w:r w:rsidRPr="00C316F8">
        <w:rPr>
          <w:rFonts w:cstheme="minorHAnsi"/>
          <w:sz w:val="24"/>
          <w:szCs w:val="24"/>
          <w:lang w:val="es-CO"/>
        </w:rPr>
        <w:t>La pandemia de COVID-19 ha presentado retos globales significativos. Este estudio se centra en la dinámica de la población centenaria en Colombia afectada por COVID-19, resaltando la importancia de comprender su singular vulnerabilidad mediante un análisis demográfico detallado.</w:t>
      </w:r>
    </w:p>
    <w:p w14:paraId="3F0160E8" w14:textId="36428E47" w:rsidR="005B5C75" w:rsidRPr="00C316F8" w:rsidRDefault="000A6A66" w:rsidP="003B711F">
      <w:pPr>
        <w:jc w:val="both"/>
        <w:rPr>
          <w:rFonts w:cstheme="minorHAnsi"/>
          <w:bCs/>
          <w:sz w:val="24"/>
          <w:szCs w:val="24"/>
          <w:lang w:val="es-CO"/>
        </w:rPr>
      </w:pPr>
      <w:r w:rsidRPr="00C316F8">
        <w:rPr>
          <w:rFonts w:cstheme="minorHAnsi"/>
          <w:bCs/>
          <w:sz w:val="24"/>
          <w:szCs w:val="24"/>
          <w:lang w:val="es-CO"/>
        </w:rPr>
        <w:t>Métodos</w:t>
      </w:r>
    </w:p>
    <w:p w14:paraId="32EF7BE0" w14:textId="23624C17"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Se realizó un estudio retrospectivo de cohorte en centenarios diagnosticados con COVID-19 en Colombia (marzo </w:t>
      </w:r>
      <w:r w:rsidR="00EB79CA" w:rsidRPr="00C316F8">
        <w:rPr>
          <w:rFonts w:cstheme="minorHAnsi"/>
          <w:sz w:val="24"/>
          <w:szCs w:val="24"/>
          <w:lang w:val="es-CO"/>
        </w:rPr>
        <w:t xml:space="preserve">de </w:t>
      </w:r>
      <w:r w:rsidRPr="00C316F8">
        <w:rPr>
          <w:rFonts w:cstheme="minorHAnsi"/>
          <w:sz w:val="24"/>
          <w:szCs w:val="24"/>
          <w:lang w:val="es-CO"/>
        </w:rPr>
        <w:t xml:space="preserve">2020 - diciembre </w:t>
      </w:r>
      <w:r w:rsidR="00EB79CA" w:rsidRPr="00C316F8">
        <w:rPr>
          <w:rFonts w:cstheme="minorHAnsi"/>
          <w:sz w:val="24"/>
          <w:szCs w:val="24"/>
          <w:lang w:val="es-CO"/>
        </w:rPr>
        <w:t xml:space="preserve">de </w:t>
      </w:r>
      <w:r w:rsidRPr="00C316F8">
        <w:rPr>
          <w:rFonts w:cstheme="minorHAnsi"/>
          <w:sz w:val="24"/>
          <w:szCs w:val="24"/>
          <w:lang w:val="es-CO"/>
        </w:rPr>
        <w:t xml:space="preserve">2022). Se aplicó estadística descriptiva, diferencias de medias y </w:t>
      </w:r>
      <w:r w:rsidR="00EB79CA" w:rsidRPr="00C316F8">
        <w:rPr>
          <w:rFonts w:cstheme="minorHAnsi"/>
          <w:sz w:val="24"/>
          <w:szCs w:val="24"/>
          <w:lang w:val="es-CO"/>
        </w:rPr>
        <w:t>chi-cuadrado</w:t>
      </w:r>
      <w:r w:rsidRPr="00C316F8">
        <w:rPr>
          <w:rFonts w:cstheme="minorHAnsi"/>
          <w:sz w:val="24"/>
          <w:szCs w:val="24"/>
          <w:lang w:val="es-CO"/>
        </w:rPr>
        <w:t xml:space="preserve">. Se incorporó una pirámide poblacional en la metodología para proporcionar una representación visual de la distribución por edad y género. Se </w:t>
      </w:r>
      <w:r w:rsidR="00EB79CA" w:rsidRPr="00C316F8">
        <w:rPr>
          <w:rFonts w:cstheme="minorHAnsi"/>
          <w:sz w:val="24"/>
          <w:szCs w:val="24"/>
          <w:lang w:val="es-CO"/>
        </w:rPr>
        <w:t>usó</w:t>
      </w:r>
      <w:r w:rsidRPr="00C316F8">
        <w:rPr>
          <w:rFonts w:cstheme="minorHAnsi"/>
          <w:sz w:val="24"/>
          <w:szCs w:val="24"/>
          <w:lang w:val="es-CO"/>
        </w:rPr>
        <w:t xml:space="preserve"> una curva de Kaplan-Meier para sobrevida y un mapa para identificar centenarios afectados en distintas categorías municipales.</w:t>
      </w:r>
    </w:p>
    <w:p w14:paraId="287000D1" w14:textId="7902835A" w:rsidR="005B5C75" w:rsidRPr="00C316F8" w:rsidRDefault="000A6A66" w:rsidP="003B711F">
      <w:pPr>
        <w:jc w:val="both"/>
        <w:rPr>
          <w:rFonts w:cstheme="minorHAnsi"/>
          <w:bCs/>
          <w:sz w:val="24"/>
          <w:szCs w:val="24"/>
          <w:lang w:val="es-CO"/>
        </w:rPr>
      </w:pPr>
      <w:r w:rsidRPr="00C316F8">
        <w:rPr>
          <w:rFonts w:cstheme="minorHAnsi"/>
          <w:bCs/>
          <w:sz w:val="24"/>
          <w:szCs w:val="24"/>
          <w:lang w:val="es-CO"/>
        </w:rPr>
        <w:t>Resultados</w:t>
      </w:r>
    </w:p>
    <w:p w14:paraId="6BDC0D7E" w14:textId="1D40AB19"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Se identificaron 1,005 centenarios afectados (rango de edad: 100-114 años). El análisis de género mostró que el </w:t>
      </w:r>
      <w:r w:rsidR="00EB79CA" w:rsidRPr="00C316F8">
        <w:rPr>
          <w:rFonts w:cstheme="minorHAnsi"/>
          <w:sz w:val="24"/>
          <w:szCs w:val="24"/>
          <w:lang w:val="es-CO"/>
        </w:rPr>
        <w:t>65,47%</w:t>
      </w:r>
      <w:r w:rsidRPr="00C316F8">
        <w:rPr>
          <w:rFonts w:cstheme="minorHAnsi"/>
          <w:sz w:val="24"/>
          <w:szCs w:val="24"/>
          <w:lang w:val="es-CO"/>
        </w:rPr>
        <w:t xml:space="preserve"> eran mujeres y el </w:t>
      </w:r>
      <w:r w:rsidR="00EB79CA" w:rsidRPr="00C316F8">
        <w:rPr>
          <w:rFonts w:cstheme="minorHAnsi"/>
          <w:sz w:val="24"/>
          <w:szCs w:val="24"/>
          <w:lang w:val="es-CO"/>
        </w:rPr>
        <w:t>34,53%</w:t>
      </w:r>
      <w:r w:rsidRPr="00C316F8">
        <w:rPr>
          <w:rFonts w:cstheme="minorHAnsi"/>
          <w:sz w:val="24"/>
          <w:szCs w:val="24"/>
          <w:lang w:val="es-CO"/>
        </w:rPr>
        <w:t xml:space="preserve"> hombres. La mortalidad global fue del 37.1%, siendo más alta en hombres (45.24%) frente a mujeres (32.83%), con odds ratio de </w:t>
      </w:r>
      <w:r w:rsidRPr="00C316F8">
        <w:rPr>
          <w:rFonts w:cstheme="minorHAnsi"/>
          <w:color w:val="0F0F0F"/>
          <w:sz w:val="24"/>
          <w:szCs w:val="24"/>
          <w:lang w:val="es-CO"/>
        </w:rPr>
        <w:t xml:space="preserve">1.69 (IC </w:t>
      </w:r>
      <w:r w:rsidR="00EB79CA" w:rsidRPr="00C316F8">
        <w:rPr>
          <w:rFonts w:cstheme="minorHAnsi"/>
          <w:color w:val="0F0F0F"/>
          <w:sz w:val="24"/>
          <w:szCs w:val="24"/>
          <w:lang w:val="es-CO"/>
        </w:rPr>
        <w:t>1.29-2.21).</w:t>
      </w:r>
      <w:r w:rsidRPr="00C316F8">
        <w:rPr>
          <w:rFonts w:cstheme="minorHAnsi"/>
          <w:color w:val="0F0F0F"/>
          <w:sz w:val="24"/>
          <w:szCs w:val="24"/>
          <w:lang w:val="es-CO"/>
        </w:rPr>
        <w:t xml:space="preserve"> </w:t>
      </w:r>
      <w:r w:rsidRPr="00C316F8">
        <w:rPr>
          <w:rFonts w:cstheme="minorHAnsi"/>
          <w:sz w:val="24"/>
          <w:szCs w:val="24"/>
          <w:lang w:val="es-CO"/>
        </w:rPr>
        <w:t xml:space="preserve">La ventana temporal de síntomas a recuperación varió (10-255 días, promedio 26.56 días). El período </w:t>
      </w:r>
      <w:r w:rsidR="00EB79CA" w:rsidRPr="00C316F8">
        <w:rPr>
          <w:rFonts w:cstheme="minorHAnsi"/>
          <w:sz w:val="24"/>
          <w:szCs w:val="24"/>
          <w:lang w:val="es-CO"/>
        </w:rPr>
        <w:t xml:space="preserve">de </w:t>
      </w:r>
      <w:r w:rsidRPr="00C316F8">
        <w:rPr>
          <w:rFonts w:cstheme="minorHAnsi"/>
          <w:sz w:val="24"/>
          <w:szCs w:val="24"/>
          <w:lang w:val="es-CO"/>
        </w:rPr>
        <w:t xml:space="preserve">síntomas a mortalidad fue de 0 a 136 días (promedio </w:t>
      </w:r>
      <w:r w:rsidR="00EB79CA" w:rsidRPr="00C316F8">
        <w:rPr>
          <w:rFonts w:cstheme="minorHAnsi"/>
          <w:sz w:val="24"/>
          <w:szCs w:val="24"/>
          <w:lang w:val="es-CO"/>
        </w:rPr>
        <w:t>14,33</w:t>
      </w:r>
      <w:r w:rsidRPr="00C316F8">
        <w:rPr>
          <w:rFonts w:cstheme="minorHAnsi"/>
          <w:sz w:val="24"/>
          <w:szCs w:val="24"/>
          <w:lang w:val="es-CO"/>
        </w:rPr>
        <w:t xml:space="preserve"> días). La curva de Kaplan-Meier evidenció mayor sobrevida en mujeres (p=0.0001), mientras que la curva según la edad no mostró diferencias significativas (p=0.084). Predominio étnico de mestizos y blancos: 97.41%. La concentración de centenarios se observa en municipios de categoría especial, 1 y 6.</w:t>
      </w:r>
    </w:p>
    <w:p w14:paraId="01CE6455" w14:textId="499ADFEA" w:rsidR="005B5C75" w:rsidRPr="00C316F8" w:rsidRDefault="000A6A66" w:rsidP="003B711F">
      <w:pPr>
        <w:jc w:val="both"/>
        <w:rPr>
          <w:rFonts w:cstheme="minorHAnsi"/>
          <w:bCs/>
          <w:sz w:val="24"/>
          <w:szCs w:val="24"/>
          <w:lang w:val="es-CO"/>
        </w:rPr>
      </w:pPr>
      <w:r w:rsidRPr="00C316F8">
        <w:rPr>
          <w:rFonts w:cstheme="minorHAnsi"/>
          <w:bCs/>
          <w:sz w:val="24"/>
          <w:szCs w:val="24"/>
          <w:lang w:val="es-CO"/>
        </w:rPr>
        <w:t>Conclusiones</w:t>
      </w:r>
    </w:p>
    <w:p w14:paraId="65EBB84A" w14:textId="77777777" w:rsidR="005B5C75" w:rsidRPr="00C316F8" w:rsidRDefault="005B5C75" w:rsidP="003B711F">
      <w:pPr>
        <w:jc w:val="both"/>
        <w:rPr>
          <w:rFonts w:cstheme="minorHAnsi"/>
          <w:sz w:val="24"/>
          <w:szCs w:val="24"/>
          <w:lang w:val="es-CO"/>
        </w:rPr>
      </w:pPr>
      <w:r w:rsidRPr="00C316F8">
        <w:rPr>
          <w:rFonts w:cstheme="minorHAnsi"/>
          <w:sz w:val="24"/>
          <w:szCs w:val="24"/>
          <w:lang w:val="es-CO"/>
        </w:rPr>
        <w:t>Este estudio destaca mayor mortalidad en hombres centenarios, sin variaciones anuales significativas en el periodo de estudio; además, se resalta la necesidad de un seguimiento prolongado, recomendablemente durante al menos 26 días, debido al tiempo extendido de recuperación.</w:t>
      </w:r>
    </w:p>
    <w:p w14:paraId="283BF64E" w14:textId="77777777" w:rsidR="00E96524" w:rsidRPr="00C316F8" w:rsidRDefault="00E96524" w:rsidP="003B711F">
      <w:pPr>
        <w:jc w:val="both"/>
        <w:rPr>
          <w:rFonts w:cstheme="minorHAnsi"/>
          <w:bCs/>
          <w:sz w:val="24"/>
          <w:szCs w:val="24"/>
          <w:lang w:val="es-CO"/>
        </w:rPr>
      </w:pPr>
      <w:r w:rsidRPr="00C316F8">
        <w:rPr>
          <w:rFonts w:cstheme="minorHAnsi"/>
          <w:bCs/>
          <w:sz w:val="24"/>
          <w:szCs w:val="24"/>
          <w:lang w:val="es-CO"/>
        </w:rPr>
        <w:t>Palabras clave: Centenarios, COVID-19, mortalidad, Colombia.</w:t>
      </w:r>
    </w:p>
    <w:p w14:paraId="72314FD1" w14:textId="77777777" w:rsidR="00E96524" w:rsidRPr="00C316F8" w:rsidRDefault="00E96524" w:rsidP="003B711F">
      <w:pPr>
        <w:jc w:val="both"/>
        <w:rPr>
          <w:rFonts w:cstheme="minorHAnsi"/>
          <w:bCs/>
          <w:sz w:val="24"/>
          <w:szCs w:val="24"/>
          <w:lang w:val="es-CO"/>
        </w:rPr>
      </w:pPr>
    </w:p>
    <w:p w14:paraId="10A43108" w14:textId="754FB8A5" w:rsidR="005B5C75" w:rsidRPr="00C316F8" w:rsidRDefault="00E96524" w:rsidP="00E96524">
      <w:pPr>
        <w:pStyle w:val="Ttulo1"/>
        <w:rPr>
          <w:lang w:val="es-CO"/>
        </w:rPr>
      </w:pPr>
      <w:bookmarkStart w:id="80" w:name="_Toc229834678"/>
      <w:r w:rsidRPr="00C316F8">
        <w:rPr>
          <w:lang w:val="es-CO"/>
        </w:rPr>
        <w:t>8.2</w:t>
      </w:r>
      <w:r w:rsidRPr="00C316F8">
        <w:rPr>
          <w:lang w:val="es-CO"/>
        </w:rPr>
        <w:tab/>
      </w:r>
      <w:r w:rsidR="005B5C75" w:rsidRPr="00C316F8">
        <w:rPr>
          <w:lang w:val="es-CO"/>
        </w:rPr>
        <w:t>INTRODUCCION</w:t>
      </w:r>
      <w:bookmarkEnd w:id="80"/>
    </w:p>
    <w:p w14:paraId="2FC03C9E" w14:textId="77777777" w:rsidR="00E96524" w:rsidRPr="00C316F8" w:rsidRDefault="00E96524" w:rsidP="00E96524">
      <w:pPr>
        <w:rPr>
          <w:lang w:val="es-CO"/>
        </w:rPr>
      </w:pPr>
    </w:p>
    <w:p w14:paraId="05F9C405" w14:textId="3BE7D040" w:rsidR="005B5C75" w:rsidRPr="00C316F8" w:rsidRDefault="005B5C75" w:rsidP="003B711F">
      <w:pPr>
        <w:jc w:val="both"/>
        <w:rPr>
          <w:rFonts w:cstheme="minorHAnsi"/>
          <w:bCs/>
          <w:sz w:val="24"/>
          <w:szCs w:val="24"/>
          <w:lang w:val="es-CO"/>
        </w:rPr>
      </w:pPr>
      <w:r w:rsidRPr="00C316F8">
        <w:rPr>
          <w:rFonts w:cstheme="minorHAnsi"/>
          <w:sz w:val="24"/>
          <w:szCs w:val="24"/>
          <w:lang w:val="es-CO"/>
        </w:rPr>
        <w:t>El término "centenario" se refiere a aquellos individuos que han alcanzado la destacada marca de vivir más de 100 años, mientras que el calificativo "</w:t>
      </w:r>
      <w:r w:rsidR="00EB79CA" w:rsidRPr="00C316F8">
        <w:rPr>
          <w:rFonts w:cstheme="minorHAnsi"/>
          <w:sz w:val="24"/>
          <w:szCs w:val="24"/>
          <w:lang w:val="es-CO"/>
        </w:rPr>
        <w:t>supercentenario</w:t>
      </w:r>
      <w:r w:rsidRPr="00C316F8">
        <w:rPr>
          <w:rFonts w:cstheme="minorHAnsi"/>
          <w:sz w:val="24"/>
          <w:szCs w:val="24"/>
          <w:lang w:val="es-CO"/>
        </w:rPr>
        <w:t xml:space="preserve">" se reserva para aquellos que han superado la edad de 114 años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{"citationID":"LBAqD0rq","properties":{"formattedCitation":"(137)","plainCitation":"(137)","noteIndex":0},"citationItems":[{"id":955,"uris":["http://zotero.org/users/5785509/items/DJZBSFLC"],"itemData":{"id":955,"type":"article-journal","container-title":"Universitas Médica","ISSN":"0041-9095","issue":"3","journalAbbreviation":"Universitas Médica","page":"268-274","publisher":"Pontificia Universidad Javeriana","title":"Caracterización de las personas centenarias atendidas en el Hospital Universitario San Ignacio de enero del 2005 a diciembre del 2012","volume":"56","author":[{"family":"Gutiérrez","given":"William Arbey"},{"family":"Samudio","given":"María Lucía"},{"family":"Cano","given":"Carlos Alberto"}],"issued":{"date-parts":[["2015"]]}}}],"schema":"https://github.com/citation-style-language/schema/raw/master/csl-citation.json"}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(137)</w:t>
      </w:r>
      <w:r w:rsidRPr="00C316F8">
        <w:rPr>
          <w:rFonts w:cstheme="minorHAnsi"/>
          <w:sz w:val="24"/>
          <w:szCs w:val="24"/>
        </w:rPr>
        <w:fldChar w:fldCharType="end"/>
      </w:r>
      <w:r w:rsidRPr="00C316F8">
        <w:rPr>
          <w:rFonts w:cstheme="minorHAnsi"/>
          <w:sz w:val="24"/>
          <w:szCs w:val="24"/>
          <w:lang w:val="es-CO"/>
        </w:rPr>
        <w:t xml:space="preserve">. Según datos proporcionados por </w:t>
      </w:r>
      <w:r w:rsidR="00EB79CA" w:rsidRPr="00C316F8">
        <w:rPr>
          <w:rFonts w:cstheme="minorHAnsi"/>
          <w:sz w:val="24"/>
          <w:szCs w:val="24"/>
          <w:lang w:val="es-CO"/>
        </w:rPr>
        <w:t xml:space="preserve">el </w:t>
      </w:r>
      <w:r w:rsidRPr="00C316F8">
        <w:rPr>
          <w:rFonts w:cstheme="minorHAnsi"/>
          <w:sz w:val="24"/>
          <w:szCs w:val="24"/>
          <w:lang w:val="es-CO"/>
        </w:rPr>
        <w:t xml:space="preserve">Departamento Nacional de Estadística de Colombia (DANE) </w:t>
      </w:r>
      <w:r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{"citationID":"1ydi7QgD","properties":{"formattedCitation":"(138)","plainCitation":"(138)","noteIndex":0},"citationItems":[{"id":956,"uris":["http://zotero.org/users/5785509/items/EAQ5AWQU"],"itemData":{"id":956,"type":"webpage","title":"Personas mayores de 100 años en Colombia - 70 Años del DANE: Un Legado Estadístico","URL":"https://dane70.dane.gov.co/index.php/los-hitos/censos/personas-mayores-de-100-anos-en-colombia","accessed":{"date-parts":[["2024",1,20]]}}}],"schema":"https://github.com/citation-style-language/schema/raw/master/csl-citation.json"}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(138)</w:t>
      </w:r>
      <w:r w:rsidRPr="00C316F8">
        <w:rPr>
          <w:rFonts w:cstheme="minorHAnsi"/>
          <w:sz w:val="24"/>
          <w:szCs w:val="24"/>
        </w:rPr>
        <w:fldChar w:fldCharType="end"/>
      </w:r>
      <w:r w:rsidRPr="00C316F8">
        <w:rPr>
          <w:rFonts w:cstheme="minorHAnsi"/>
          <w:sz w:val="24"/>
          <w:szCs w:val="24"/>
          <w:lang w:val="es-CO"/>
        </w:rPr>
        <w:t>, en el año 2020 se registró un total de 23.866 centenarios en Colombia. Esta cifra experimentó una disminución en el año 2021, alcanzando un total de 22.488 individuos</w:t>
      </w:r>
      <w:r w:rsidR="00EB79CA" w:rsidRPr="00C316F8">
        <w:rPr>
          <w:rFonts w:cstheme="minorHAnsi"/>
          <w:sz w:val="24"/>
          <w:szCs w:val="24"/>
          <w:lang w:val="es-CO"/>
        </w:rPr>
        <w:t>,</w:t>
      </w:r>
      <w:r w:rsidRPr="00C316F8">
        <w:rPr>
          <w:rFonts w:cstheme="minorHAnsi"/>
          <w:sz w:val="24"/>
          <w:szCs w:val="24"/>
          <w:lang w:val="es-CO"/>
        </w:rPr>
        <w:t xml:space="preserve"> y para el año 2022, se observa un descenso en este número, situándose en 20.823 centenarios en el país. Comparando con el censo de 2005</w:t>
      </w:r>
      <w:r w:rsidR="00EB79CA" w:rsidRPr="00C316F8">
        <w:rPr>
          <w:rFonts w:cstheme="minorHAnsi"/>
          <w:sz w:val="24"/>
          <w:szCs w:val="24"/>
          <w:lang w:val="es-CO"/>
        </w:rPr>
        <w:t>,</w:t>
      </w:r>
      <w:r w:rsidRPr="00C316F8">
        <w:rPr>
          <w:rFonts w:cstheme="minorHAnsi"/>
          <w:sz w:val="24"/>
          <w:szCs w:val="24"/>
          <w:lang w:val="es-CO"/>
        </w:rPr>
        <w:t xml:space="preserve"> el número de centenarios ha ido en aumento en Colombia y la distribución por regiones muestra distribuciones diversas en el territorio nacional. </w:t>
      </w:r>
      <w:r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J6a9ZAf7","properties":{"formattedCitation":"(139)","plainCitation":"(139)","noteIndex":0},"citationItems":[{"id":964,"uris":["http://zotero.org/users/5785509/items/9ELAQ46B"],"itemData":{"id":964,"type":"article-journal","container-title":"Meta","issue":"10","journalAbbreviation":"Meta","page":"13","title":"Distribución geográfica de los centenarios en Colombia: un análisis de tres bases de datos","volume":"23","author":[{"family":"Rosselli","given":"Diego"},{"family":"Yucumá","given":"Daniela"},{"family":"Polanía","given":"María José"},{"family":"Machado","given":"Jenny Carolina"}],"issued":{"date-parts":[["2017"]]}}}],"schema":"https://github.com/citation-style-language/schema/raw/master/csl-citation.json"}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(139)</w:t>
      </w:r>
      <w:r w:rsidRPr="00C316F8">
        <w:rPr>
          <w:rFonts w:cstheme="minorHAnsi"/>
          <w:sz w:val="24"/>
          <w:szCs w:val="24"/>
        </w:rPr>
        <w:fldChar w:fldCharType="end"/>
      </w:r>
    </w:p>
    <w:p w14:paraId="59E1AB90" w14:textId="4615A35B"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La pandemia de COVID-19 ha dejado una huella significativa a nivel mundial, afectando la salud pública, la economía y la sociedad en su conjunto. El primer caso de COVID-19 en Colombia se presentó el 6 de marzo de 2020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{"citationID":"UYU0E1FD","properties":{"formattedCitation":"(140)","plainCitation":"(140)","noteIndex":0},"citationItems":[{"id":969,"uris":["http://zotero.org/users/5785509/items/J94RPELZ"],"itemData":{"id":969,"type":"article-journal","container-title":"Acta Neurológica Colombiana","ISSN":"0120-8748","issue":"2","journalAbbreviation":"Acta Neurológica Colombiana","page":"1-6","publisher":"Asociación Colombiana de Neurología","title":"Covid-19 en Colombia: los primeros 90 días","volume":"36","author":[{"family":"Rosselli","given":"MD"}],"issued":{"date-parts":[["2020"]]}}}],"schema":"https://github.com/citation-style-language/schema/raw/master/csl-citation.json"}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(140)</w:t>
      </w:r>
      <w:r w:rsidRPr="00C316F8">
        <w:rPr>
          <w:rFonts w:cstheme="minorHAnsi"/>
          <w:sz w:val="24"/>
          <w:szCs w:val="24"/>
        </w:rPr>
        <w:fldChar w:fldCharType="end"/>
      </w:r>
      <w:r w:rsidRPr="00C316F8">
        <w:rPr>
          <w:rFonts w:cstheme="minorHAnsi"/>
          <w:sz w:val="24"/>
          <w:szCs w:val="24"/>
          <w:lang w:val="es-CO"/>
        </w:rPr>
        <w:t>, dando lugar a una crisis sanitaria y económica que afectó a diversas comunidades. Dentro de la población de alto riesgo, los adultos mayores, género masculino, especialmente aquellos con comorbilidades como enfermedades cardiovasculares, diabetes mellitus, afecciones pulmonares, cáncer, enfermedad hepática y renal, se vieron especialmente afectados</w:t>
      </w:r>
      <w:r w:rsidR="00491C13"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{"citationID":"EXRMKMgl","properties":{"formattedCitation":"(141)","plainCitation":"(141)","noteIndex":0},"citationItems":[{"id":971,"uris":["http://zotero.org/users/5785509/items/BGNGIPQU"],"itemData":{"id":971,"type":"article-journal","container-title":"Journal of community health","ISSN":"0094-5145","issue":"6","journalAbbreviation":"Journal of community health","page":"1270-1282","publisher":"Springer","title":"Prevalence and associated risk factors of mortality among COVID-19 patients: a meta-analysis","volume":"45","author":[{"family":"Noor","given":"Farha Musharrat"},{"family":"Islam","given":"Md Momin"}],"issued":{"date-parts":[["2020"]]}}}],"schema":"https://github.com/citation-style-language/schema/raw/master/csl-citation.json"}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(141)</w:t>
      </w:r>
      <w:r w:rsidRPr="00C316F8">
        <w:rPr>
          <w:rFonts w:cstheme="minorHAnsi"/>
          <w:sz w:val="24"/>
          <w:szCs w:val="24"/>
        </w:rPr>
        <w:fldChar w:fldCharType="end"/>
      </w:r>
    </w:p>
    <w:p w14:paraId="417F928C" w14:textId="079AEF4C"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La población centenaria adquiere una relevancia ineludible en el contexto colombiano, especialmente a la luz de los desafíos planteados por la pandemia de COVID-19. La longevidad se refiere a la capacidad de sobrevivir más allá de la edad promedio de muerte específica de una especie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{"citationID":"y3gIcXtu","properties":{"formattedCitation":"(70)","plainCitation":"(70)","noteIndex":0},"citationItems":[{"id":972,"uris":["http://zotero.org/users/5785509/items/TN7KGX74"],"itemData":{"id":972,"type":"article-journal","container-title":"Science of Aging Knowledge Environment","ISSN":"1539-6150","issue":"10","journalAbbreviation":"Science of Aging Knowledge Environment","page":"pe20-pe20","publisher":"American Association for the Advancement of Science","title":"The unusual genetics of human longevity","volume":"2006","author":[{"family":"De Benedictis","given":"Giovanna"},{"family":"Franceschi","given":"Claudio"}],"issued":{"date-parts":[["2006"]]}}}],"schema":"https://github.com/citation-style-language/schema/raw/master/csl-citation.json"}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(70)</w:t>
      </w:r>
      <w:r w:rsidRPr="00C316F8">
        <w:rPr>
          <w:rFonts w:cstheme="minorHAnsi"/>
          <w:sz w:val="24"/>
          <w:szCs w:val="24"/>
        </w:rPr>
        <w:fldChar w:fldCharType="end"/>
      </w:r>
      <w:r w:rsidR="00EB79CA" w:rsidRPr="00C316F8">
        <w:rPr>
          <w:rFonts w:cstheme="minorHAnsi"/>
          <w:sz w:val="24"/>
          <w:szCs w:val="24"/>
          <w:lang w:val="es-CO"/>
        </w:rPr>
        <w:t>;</w:t>
      </w:r>
      <w:r w:rsidRPr="00C316F8">
        <w:rPr>
          <w:rFonts w:cstheme="minorHAnsi"/>
          <w:sz w:val="24"/>
          <w:szCs w:val="24"/>
          <w:lang w:val="es-CO"/>
        </w:rPr>
        <w:t xml:space="preserve"> no solo constituye un logro notable en términos individuales, sino que también presenta implicaciones significativas para el sistema de salud, las políticas públicas y la sociedad en su conjunto.</w:t>
      </w:r>
    </w:p>
    <w:p w14:paraId="5625D987" w14:textId="4833D807"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El estudio de personas centenarias ofrece valiosas perspectivas sobre la longevidad y adaptabilidad a lo largo del tiempo. Además de preservar su legado, este enfoque proporciona información sobre cómo enfrentan desafíos. Aprender de la resiliencia de los centenarios puede mejorar la preparación de la sociedad ante desafíos futuros. En este escenario, el impacto del COVID-19 en la población centenaria merece una atención particular, considerando su vulnerabilidad ante enfermedades y su potencial para ofrecer perspectivas valiosas sobre la respuesta del sistema de salud y la adaptación de las políticas públicas en situaciones de crisis.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{"citationID":"rBGkcTKR","properties":{"formattedCitation":"(71)","plainCitation":"(71)","noteIndex":0},"citationItems":[{"id":984,"uris":["http://zotero.org/users/5785509/items/NS9NNE47"],"itemData":{"id":984,"type":"article-journal","container-title":"Aging Clinical and Experimental Research","ISSN":"1720-8319","issue":"1","journalAbbreviation":"Aging Clinical and Experimental Research","page":"217-220","publisher":"Springer","title":"Centenarians born before 1919 are resistant to COVID-19","volume":"35","author":[{"family":"Caruso","given":"Calogero"},{"family":"Accardi","given":"Giulia"},{"family":"Aiello","given":"Anna"},{"family":"Calabrò","given":"Anna"},{"family":"Ligotti","given":"Mattia Emanuela"},{"family":"Candore","given":"Giuseppina"}],"issued":{"date-parts":[["2023"]]}}}],"schema":"https://github.com/citation-style-language/schema/raw/master/csl-citation.json"}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(71)</w:t>
      </w:r>
      <w:r w:rsidRPr="00C316F8">
        <w:rPr>
          <w:rFonts w:cstheme="minorHAnsi"/>
          <w:sz w:val="24"/>
          <w:szCs w:val="24"/>
        </w:rPr>
        <w:fldChar w:fldCharType="end"/>
      </w:r>
    </w:p>
    <w:p w14:paraId="5C8D03F6" w14:textId="5CC1B33B"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 Analizar la dinámica de esta población frente a la pandemia no </w:t>
      </w:r>
      <w:r w:rsidR="00EB79CA" w:rsidRPr="00C316F8">
        <w:rPr>
          <w:rFonts w:cstheme="minorHAnsi"/>
          <w:sz w:val="24"/>
          <w:szCs w:val="24"/>
          <w:lang w:val="es-CO"/>
        </w:rPr>
        <w:t>solo</w:t>
      </w:r>
      <w:r w:rsidRPr="00C316F8">
        <w:rPr>
          <w:rFonts w:cstheme="minorHAnsi"/>
          <w:sz w:val="24"/>
          <w:szCs w:val="24"/>
          <w:lang w:val="es-CO"/>
        </w:rPr>
        <w:t xml:space="preserve"> permitirá entender la fragilidad de este segmento demográfico, sino que también generará ideas sobre las estrategias necesarias para preservar la salud y el bienestar de los individuos más longevos. </w:t>
      </w:r>
      <w:r w:rsidRPr="00C316F8">
        <w:rPr>
          <w:rFonts w:cstheme="minorHAnsi"/>
          <w:sz w:val="24"/>
          <w:szCs w:val="24"/>
          <w:lang w:val="es-CO"/>
        </w:rPr>
        <w:lastRenderedPageBreak/>
        <w:t>En este sentido, el presente estudio tiene como objetivo describir, a través de un análisis de cohorte poblacional, la longevidad en el contexto de la crisis sanitaria del COVID-19, centrándose en la experiencia de los centenarios.</w:t>
      </w:r>
    </w:p>
    <w:p w14:paraId="28DDCF1B" w14:textId="77777777" w:rsidR="005B5C75" w:rsidRPr="00C316F8" w:rsidRDefault="005B5C75" w:rsidP="003B711F">
      <w:pPr>
        <w:jc w:val="both"/>
        <w:rPr>
          <w:rFonts w:cstheme="minorHAnsi"/>
          <w:bCs/>
          <w:sz w:val="24"/>
          <w:szCs w:val="24"/>
          <w:lang w:val="es-CO"/>
        </w:rPr>
      </w:pPr>
    </w:p>
    <w:p w14:paraId="605F175F" w14:textId="3A6D8E14" w:rsidR="005B5C75" w:rsidRPr="00C316F8" w:rsidRDefault="00E96524" w:rsidP="00E96524">
      <w:pPr>
        <w:pStyle w:val="Ttulo1"/>
        <w:rPr>
          <w:lang w:val="es-CO"/>
        </w:rPr>
      </w:pPr>
      <w:bookmarkStart w:id="81" w:name="_Toc229834679"/>
      <w:r w:rsidRPr="00C316F8">
        <w:rPr>
          <w:lang w:val="es-CO"/>
        </w:rPr>
        <w:t>8.3</w:t>
      </w:r>
      <w:r w:rsidRPr="00C316F8">
        <w:rPr>
          <w:lang w:val="es-CO"/>
        </w:rPr>
        <w:tab/>
      </w:r>
      <w:r w:rsidR="005B5C75" w:rsidRPr="00C316F8">
        <w:rPr>
          <w:lang w:val="es-CO"/>
        </w:rPr>
        <w:t>METODOLOGIA</w:t>
      </w:r>
      <w:bookmarkEnd w:id="81"/>
    </w:p>
    <w:p w14:paraId="2E9D119B" w14:textId="77777777" w:rsidR="00E96524" w:rsidRPr="00C316F8" w:rsidRDefault="00E96524" w:rsidP="00E96524">
      <w:pPr>
        <w:rPr>
          <w:lang w:val="es-CO"/>
        </w:rPr>
      </w:pPr>
    </w:p>
    <w:p w14:paraId="3B108C2D" w14:textId="45D21055"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Se llevó a cabo un estudio de cohorte poblacional retrospectivo que se enfocó en la población de centenarios </w:t>
      </w:r>
      <w:r w:rsidR="00EB79CA" w:rsidRPr="00C316F8">
        <w:rPr>
          <w:rFonts w:cstheme="minorHAnsi"/>
          <w:sz w:val="24"/>
          <w:szCs w:val="24"/>
          <w:lang w:val="es-CO"/>
        </w:rPr>
        <w:t>diagnosticados</w:t>
      </w:r>
      <w:r w:rsidRPr="00C316F8">
        <w:rPr>
          <w:rFonts w:cstheme="minorHAnsi"/>
          <w:sz w:val="24"/>
          <w:szCs w:val="24"/>
          <w:lang w:val="es-CO"/>
        </w:rPr>
        <w:t xml:space="preserve"> con la infección por COVID-19 mediante pruebas de PCR o antígeno en Colombia. El período de investigación se extendió desde el 6 de marzo de 2020 hasta el 31 de diciembre de 2022. La información demográfica y los datos relativos a la mortalidad asociada al COVID-19 fueron obtenidos de la base de datos nacional de COVID-19, recopilada por el Instituto Nacional de Salud de Colombia (INS)</w:t>
      </w:r>
      <w:r w:rsidR="00491C13"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{"citationID":"xlEHAx0B","properties":{"formattedCitation":"(142)","plainCitation":"(142)","noteIndex":0},"citationItems":[{"id":954,"uris":["http://zotero.org/users/5785509/items/HTNAM39G"],"itemData":{"id":954,"type":"webpage","title":"Coronavirus Colombia","URL":"https://www.ins.gov.co/Noticias/Paginas/Coronavirus.aspx","accessed":{"date-parts":[["2024",1,20]]}}}],"schema":"https://github.com/citation-style-language/schema/raw/master/csl-citation.json"}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(142)</w:t>
      </w:r>
      <w:r w:rsidRPr="00C316F8">
        <w:rPr>
          <w:rFonts w:cstheme="minorHAnsi"/>
          <w:sz w:val="24"/>
          <w:szCs w:val="24"/>
        </w:rPr>
        <w:fldChar w:fldCharType="end"/>
      </w:r>
    </w:p>
    <w:p w14:paraId="04DE6D13" w14:textId="53CB5E80"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Para la distribución geográfica se </w:t>
      </w:r>
      <w:r w:rsidR="001D37DB" w:rsidRPr="00C316F8">
        <w:rPr>
          <w:rFonts w:cstheme="minorHAnsi"/>
          <w:sz w:val="24"/>
          <w:szCs w:val="24"/>
          <w:lang w:val="es-CO"/>
        </w:rPr>
        <w:t>tuvieron</w:t>
      </w:r>
      <w:r w:rsidRPr="00C316F8">
        <w:rPr>
          <w:rFonts w:cstheme="minorHAnsi"/>
          <w:sz w:val="24"/>
          <w:szCs w:val="24"/>
          <w:lang w:val="es-CO"/>
        </w:rPr>
        <w:t xml:space="preserve"> en cuenta las regiones de Colombia divididas en: Caribe, Andina, Pacífica, Orinoquía, Amazonia e Insular </w:t>
      </w:r>
      <w:r w:rsidR="001D37DB" w:rsidRPr="00C316F8">
        <w:rPr>
          <w:rFonts w:cstheme="minorHAnsi"/>
          <w:sz w:val="24"/>
          <w:szCs w:val="24"/>
          <w:lang w:val="es-CO"/>
        </w:rPr>
        <w:t>,</w:t>
      </w:r>
      <w:r w:rsidRPr="00C316F8">
        <w:rPr>
          <w:rFonts w:cstheme="minorHAnsi"/>
          <w:sz w:val="24"/>
          <w:szCs w:val="24"/>
          <w:lang w:val="es-CO"/>
        </w:rPr>
        <w:t xml:space="preserve"> de acuerdo con la división del DANE </w:t>
      </w:r>
      <w:r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{"citationID":"78Q3U5U1","properties":{"formattedCitation":"(143)","plainCitation":"(143)","noteIndex":0},"citationItems":[{"id":973,"uris":["http://zotero.org/users/5785509/items/FTNFAL2M"],"itemData":{"id":973,"type":"webpage","title":"•Regiones geográficas.","URL":"https://geoportal.dane.gov.co/servicios/atlas-estadistico/src/Tomo_I_Demografico/%E2%80%A2regiones-geogr%C3%A1ficas.html","accessed":{"date-parts":[["2024",2,7]]}}}],"schema":"https://github.com/citation-style-language/schema/raw/master/csl-citation.json"}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(143)</w:t>
      </w:r>
      <w:r w:rsidRPr="00C316F8">
        <w:rPr>
          <w:rFonts w:cstheme="minorHAnsi"/>
          <w:sz w:val="24"/>
          <w:szCs w:val="24"/>
        </w:rPr>
        <w:fldChar w:fldCharType="end"/>
      </w:r>
      <w:r w:rsidRPr="00C316F8">
        <w:rPr>
          <w:rFonts w:cstheme="minorHAnsi"/>
          <w:sz w:val="24"/>
          <w:szCs w:val="24"/>
          <w:lang w:val="es-CO"/>
        </w:rPr>
        <w:t xml:space="preserve">. Se usó la categorización de los municipios conforme a la legislación vigente mediante la Ley 136 de 1994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{"citationID":"acVF4WkD","properties":{"formattedCitation":"(49)","plainCitation":"(49)","noteIndex":0},"citationItems":[{"id":948,"uris":["http://zotero.org/users/5785509/items/MF2TRRI4"],"itemData":{"id":948,"type":"webpage","title":"LEY 136 DE 1994","URL":"https://www.suin-juriscol.gov.co/viewDocument.asp?id=1648916","accessed":{"date-parts":[["2024",1,20]]}}}],"schema":"https://github.com/citation-style-language/schema/raw/master/csl-citation.json"} </w:instrText>
      </w:r>
      <w:r w:rsidRPr="00C316F8">
        <w:rPr>
          <w:rFonts w:cstheme="minorHAnsi"/>
          <w:sz w:val="24"/>
          <w:szCs w:val="24"/>
        </w:rPr>
        <w:fldChar w:fldCharType="separate"/>
      </w:r>
      <w:r w:rsidR="00CD2033" w:rsidRPr="00C316F8">
        <w:rPr>
          <w:rFonts w:ascii="Calibri" w:hAnsi="Calibri" w:cs="Calibri"/>
          <w:sz w:val="24"/>
          <w:lang w:val="es-CO"/>
        </w:rPr>
        <w:t>(49)</w:t>
      </w:r>
      <w:r w:rsidRPr="00C316F8">
        <w:rPr>
          <w:rFonts w:cstheme="minorHAnsi"/>
          <w:sz w:val="24"/>
          <w:szCs w:val="24"/>
        </w:rPr>
        <w:fldChar w:fldCharType="end"/>
      </w:r>
      <w:r w:rsidRPr="00C316F8">
        <w:rPr>
          <w:rFonts w:cstheme="minorHAnsi"/>
          <w:sz w:val="24"/>
          <w:szCs w:val="24"/>
          <w:lang w:val="es-CO"/>
        </w:rPr>
        <w:t xml:space="preserve">, modificada por la Ley 1551 de 2012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{"citationID":"lWOctCNC","properties":{"formattedCitation":"(48)","plainCitation":"(48)","noteIndex":0},"citationItems":[{"id":950,"uris":["http://zotero.org/users/5785509/items/43HU66EI"],"itemData":{"id":950,"type":"webpage","title":"Ley 1551 de 2012 - Gestor Normativo - Función Pública","URL":"https://www.funcionpublica.gov.co/eva/gestornormativo/norma.php?i=48267","accessed":{"date-parts":[["2024",1,20]]}}}],"schema":"https://github.com/citation-style-language/schema/raw/master/csl-citation.json"} </w:instrText>
      </w:r>
      <w:r w:rsidRPr="00C316F8">
        <w:rPr>
          <w:rFonts w:cstheme="minorHAnsi"/>
          <w:sz w:val="24"/>
          <w:szCs w:val="24"/>
        </w:rPr>
        <w:fldChar w:fldCharType="separate"/>
      </w:r>
      <w:r w:rsidR="00CD2033" w:rsidRPr="00C316F8">
        <w:rPr>
          <w:rFonts w:ascii="Calibri" w:hAnsi="Calibri" w:cs="Calibri"/>
          <w:sz w:val="24"/>
          <w:lang w:val="es-CO"/>
        </w:rPr>
        <w:t>(48)</w:t>
      </w:r>
      <w:r w:rsidRPr="00C316F8">
        <w:rPr>
          <w:rFonts w:cstheme="minorHAnsi"/>
          <w:sz w:val="24"/>
          <w:szCs w:val="24"/>
        </w:rPr>
        <w:fldChar w:fldCharType="end"/>
      </w:r>
      <w:r w:rsidRPr="00C316F8">
        <w:rPr>
          <w:rFonts w:cstheme="minorHAnsi"/>
          <w:sz w:val="24"/>
          <w:szCs w:val="24"/>
          <w:lang w:val="es-CO"/>
        </w:rPr>
        <w:t xml:space="preserve">. Esta última normativa establece siete categorías para los municipios, a saber: Especial, Primera, Segunda, Tercera, Cuarta, Quinta y Sexta. La asignación de estas categorías se fundamenta en la evaluación de cuatro criterios fundamentales: </w:t>
      </w:r>
      <w:r w:rsidR="001D37DB" w:rsidRPr="00C316F8">
        <w:rPr>
          <w:rFonts w:cstheme="minorHAnsi"/>
          <w:sz w:val="24"/>
          <w:szCs w:val="24"/>
          <w:lang w:val="es-CO"/>
        </w:rPr>
        <w:t>el</w:t>
      </w:r>
      <w:r w:rsidRPr="00C316F8">
        <w:rPr>
          <w:rFonts w:cstheme="minorHAnsi"/>
          <w:sz w:val="24"/>
          <w:szCs w:val="24"/>
          <w:lang w:val="es-CO"/>
        </w:rPr>
        <w:t xml:space="preserve"> volumen poblacional, los ingresos corrientes de libre destinación, la importancia económica y la ubicación geográfica </w:t>
      </w:r>
      <w:r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{"citationID":"rRrsRpX0","properties":{"formattedCitation":"(144)","plainCitation":"(144)","noteIndex":0},"citationItems":[{"id":952,"uris":["http://zotero.org/users/5785509/items/8FAPZTK4"],"itemData":{"id":952,"type":"webpage","title":"¿Con base a qué criterios se establece la categoría de un municipio en Colombia?","URL":"https://www.construyendomeritos.com/blog/con-base-a-que-criterios-se-establece-la-categoria-de-un-municipio-en-colombia","accessed":{"date-parts":[["2024",1,20]]}}}],"schema":"https://github.com/citation-style-language/schema/raw/master/csl-citation.json"}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(144)</w:t>
      </w:r>
      <w:r w:rsidRPr="00C316F8">
        <w:rPr>
          <w:rFonts w:cstheme="minorHAnsi"/>
          <w:sz w:val="24"/>
          <w:szCs w:val="24"/>
        </w:rPr>
        <w:fldChar w:fldCharType="end"/>
      </w:r>
      <w:r w:rsidRPr="00C316F8">
        <w:rPr>
          <w:rFonts w:cstheme="minorHAnsi"/>
          <w:sz w:val="24"/>
          <w:szCs w:val="24"/>
          <w:lang w:val="es-CO"/>
        </w:rPr>
        <w:t>. Con miras a la presente investigación, se ha tomado como referencia el año 2022 para garantizar una contextualización precisa y actualizada.</w:t>
      </w:r>
    </w:p>
    <w:p w14:paraId="640B1365" w14:textId="77777777" w:rsidR="005B5C75" w:rsidRPr="00C316F8" w:rsidRDefault="005B5C75" w:rsidP="003B711F">
      <w:pPr>
        <w:jc w:val="both"/>
        <w:rPr>
          <w:rFonts w:cstheme="minorHAnsi"/>
          <w:bCs/>
          <w:sz w:val="24"/>
          <w:szCs w:val="24"/>
          <w:lang w:val="es-CO"/>
        </w:rPr>
      </w:pPr>
    </w:p>
    <w:p w14:paraId="17F3EAF3" w14:textId="0446F6C2" w:rsidR="005B5C75" w:rsidRPr="00C316F8" w:rsidRDefault="00E96524" w:rsidP="00E96524">
      <w:pPr>
        <w:pStyle w:val="Ttulo1"/>
        <w:rPr>
          <w:lang w:val="es-CO"/>
        </w:rPr>
      </w:pPr>
      <w:bookmarkStart w:id="82" w:name="_Toc229834680"/>
      <w:r w:rsidRPr="00C316F8">
        <w:rPr>
          <w:lang w:val="es-CO"/>
        </w:rPr>
        <w:t>8.4</w:t>
      </w:r>
      <w:r w:rsidRPr="00C316F8">
        <w:rPr>
          <w:lang w:val="es-CO"/>
        </w:rPr>
        <w:tab/>
      </w:r>
      <w:r w:rsidR="005B5C75" w:rsidRPr="00C316F8">
        <w:rPr>
          <w:lang w:val="es-CO"/>
        </w:rPr>
        <w:t>ANÁLISIS ESTADISTICO</w:t>
      </w:r>
      <w:bookmarkEnd w:id="82"/>
    </w:p>
    <w:p w14:paraId="3D7F495C" w14:textId="77777777" w:rsidR="00E96524" w:rsidRPr="00C316F8" w:rsidRDefault="00E96524" w:rsidP="00E96524">
      <w:pPr>
        <w:rPr>
          <w:lang w:val="es-CO"/>
        </w:rPr>
      </w:pPr>
    </w:p>
    <w:p w14:paraId="03893D47" w14:textId="2F96ABA1"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El abordaje estadístico emplea métodos de estadística descriptiva para realizar un análisis detallado de las variables bajo estudio. En el caso de las variables cuantitativas, se calcularon medidas centrales como la media, </w:t>
      </w:r>
      <w:r w:rsidR="001D37DB" w:rsidRPr="00C316F8">
        <w:rPr>
          <w:rFonts w:cstheme="minorHAnsi"/>
          <w:sz w:val="24"/>
          <w:szCs w:val="24"/>
          <w:lang w:val="es-CO"/>
        </w:rPr>
        <w:t xml:space="preserve">la </w:t>
      </w:r>
      <w:r w:rsidRPr="00C316F8">
        <w:rPr>
          <w:rFonts w:cstheme="minorHAnsi"/>
          <w:sz w:val="24"/>
          <w:szCs w:val="24"/>
          <w:lang w:val="es-CO"/>
        </w:rPr>
        <w:t xml:space="preserve">mediana y </w:t>
      </w:r>
      <w:r w:rsidR="001D37DB" w:rsidRPr="00C316F8">
        <w:rPr>
          <w:rFonts w:cstheme="minorHAnsi"/>
          <w:sz w:val="24"/>
          <w:szCs w:val="24"/>
          <w:lang w:val="es-CO"/>
        </w:rPr>
        <w:t xml:space="preserve">los </w:t>
      </w:r>
      <w:r w:rsidRPr="00C316F8">
        <w:rPr>
          <w:rFonts w:cstheme="minorHAnsi"/>
          <w:sz w:val="24"/>
          <w:szCs w:val="24"/>
          <w:lang w:val="es-CO"/>
        </w:rPr>
        <w:t>percentiles. Para las variables categóricas, se presentaron mediante frecuencias y porcentajes.</w:t>
      </w:r>
    </w:p>
    <w:p w14:paraId="43008DD5" w14:textId="2E25769E"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Se realizó una comparación entre grupos mediante la diferencia de medias para variables continuas y la prueba de </w:t>
      </w:r>
      <w:r w:rsidR="001D37DB" w:rsidRPr="00C316F8">
        <w:rPr>
          <w:rFonts w:cstheme="minorHAnsi"/>
          <w:sz w:val="24"/>
          <w:szCs w:val="24"/>
          <w:lang w:val="es-CO"/>
        </w:rPr>
        <w:t>chi-cuadrado</w:t>
      </w:r>
      <w:r w:rsidRPr="00C316F8">
        <w:rPr>
          <w:rFonts w:cstheme="minorHAnsi"/>
          <w:sz w:val="24"/>
          <w:szCs w:val="24"/>
          <w:lang w:val="es-CO"/>
        </w:rPr>
        <w:t xml:space="preserve"> para variables categóricas, con el propósito de identificar posibles asociaciones o disparidades significativas. Adicionalmente</w:t>
      </w:r>
      <w:r w:rsidR="001D37DB" w:rsidRPr="00C316F8">
        <w:rPr>
          <w:rFonts w:cstheme="minorHAnsi"/>
          <w:sz w:val="24"/>
          <w:szCs w:val="24"/>
          <w:lang w:val="es-CO"/>
        </w:rPr>
        <w:t>,</w:t>
      </w:r>
      <w:r w:rsidRPr="00C316F8">
        <w:rPr>
          <w:rFonts w:cstheme="minorHAnsi"/>
          <w:sz w:val="24"/>
          <w:szCs w:val="24"/>
          <w:lang w:val="es-CO"/>
        </w:rPr>
        <w:t xml:space="preserve"> se hizo un análisis estratificado, ajustado por género</w:t>
      </w:r>
      <w:r w:rsidR="001D37DB" w:rsidRPr="00C316F8">
        <w:rPr>
          <w:rFonts w:cstheme="minorHAnsi"/>
          <w:sz w:val="24"/>
          <w:szCs w:val="24"/>
          <w:lang w:val="es-CO"/>
        </w:rPr>
        <w:t>,</w:t>
      </w:r>
      <w:r w:rsidRPr="00C316F8">
        <w:rPr>
          <w:rFonts w:cstheme="minorHAnsi"/>
          <w:sz w:val="24"/>
          <w:szCs w:val="24"/>
          <w:lang w:val="es-CO"/>
        </w:rPr>
        <w:t xml:space="preserve"> utilizando el odds ratio, para una evaluación más precisa de las relaciones en la población, considerando factores de confusión como edad y sexo.</w:t>
      </w:r>
    </w:p>
    <w:p w14:paraId="074DF156" w14:textId="2CB1F8C1" w:rsidR="005B5C75" w:rsidRPr="00C316F8" w:rsidRDefault="005B5C75" w:rsidP="003B711F">
      <w:pPr>
        <w:jc w:val="both"/>
        <w:rPr>
          <w:rFonts w:cstheme="minorHAnsi"/>
          <w:sz w:val="24"/>
          <w:szCs w:val="24"/>
          <w:lang w:val="es-CO"/>
        </w:rPr>
      </w:pPr>
      <w:r w:rsidRPr="00C316F8">
        <w:rPr>
          <w:rFonts w:cstheme="minorHAnsi"/>
          <w:sz w:val="24"/>
          <w:szCs w:val="24"/>
          <w:lang w:val="es-CO"/>
        </w:rPr>
        <w:lastRenderedPageBreak/>
        <w:t>Para representar de manera visual la estructura demográfica, se construyó una pirámide poblacional. Se realiz</w:t>
      </w:r>
      <w:r w:rsidR="001D37DB" w:rsidRPr="00C316F8">
        <w:rPr>
          <w:rFonts w:cstheme="minorHAnsi"/>
          <w:sz w:val="24"/>
          <w:szCs w:val="24"/>
          <w:lang w:val="es-CO"/>
        </w:rPr>
        <w:t>ó</w:t>
      </w:r>
      <w:r w:rsidRPr="00C316F8">
        <w:rPr>
          <w:rFonts w:cstheme="minorHAnsi"/>
          <w:sz w:val="24"/>
          <w:szCs w:val="24"/>
          <w:lang w:val="es-CO"/>
        </w:rPr>
        <w:t xml:space="preserve"> una curva de Kaplan Meier de sobrevida para el género y la edad y para encontrar diferencias se usó </w:t>
      </w:r>
      <w:r w:rsidR="001D37DB" w:rsidRPr="00C316F8">
        <w:rPr>
          <w:rFonts w:cstheme="minorHAnsi"/>
          <w:sz w:val="24"/>
          <w:szCs w:val="24"/>
          <w:lang w:val="es-CO"/>
        </w:rPr>
        <w:t>la prueba</w:t>
      </w:r>
      <w:r w:rsidRPr="00C316F8">
        <w:rPr>
          <w:rFonts w:cstheme="minorHAnsi"/>
          <w:sz w:val="24"/>
          <w:szCs w:val="24"/>
          <w:lang w:val="es-CO"/>
        </w:rPr>
        <w:t xml:space="preserve"> de log</w:t>
      </w:r>
      <w:r w:rsidR="001D37DB" w:rsidRPr="00C316F8">
        <w:rPr>
          <w:rFonts w:cstheme="minorHAnsi"/>
          <w:sz w:val="24"/>
          <w:szCs w:val="24"/>
          <w:lang w:val="es-CO"/>
        </w:rPr>
        <w:t>-</w:t>
      </w:r>
      <w:r w:rsidRPr="00C316F8">
        <w:rPr>
          <w:rFonts w:cstheme="minorHAnsi"/>
          <w:sz w:val="24"/>
          <w:szCs w:val="24"/>
          <w:lang w:val="es-CO"/>
        </w:rPr>
        <w:t>rank. Asimismo, se generó un mapa descriptivo que exhibe la distribución geográfica con la categorización de los municipios en Colombia y los casos de COVID-19 en centenarios, proporcionando una herramienta visual útil para la identificación de patrones regionales.</w:t>
      </w:r>
    </w:p>
    <w:p w14:paraId="54301242" w14:textId="45A5F2ED"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Se </w:t>
      </w:r>
      <w:r w:rsidR="001D37DB" w:rsidRPr="00C316F8">
        <w:rPr>
          <w:rFonts w:cstheme="minorHAnsi"/>
          <w:sz w:val="24"/>
          <w:szCs w:val="24"/>
          <w:lang w:val="es-CO"/>
        </w:rPr>
        <w:t>usó</w:t>
      </w:r>
      <w:r w:rsidRPr="00C316F8">
        <w:rPr>
          <w:rFonts w:cstheme="minorHAnsi"/>
          <w:sz w:val="24"/>
          <w:szCs w:val="24"/>
          <w:lang w:val="es-CO"/>
        </w:rPr>
        <w:t xml:space="preserve"> el software STATA 16, R versión 4.3.1 y Excel 2019.</w:t>
      </w:r>
    </w:p>
    <w:p w14:paraId="533959A6" w14:textId="77777777" w:rsidR="005B5C75" w:rsidRPr="00C316F8" w:rsidRDefault="005B5C75" w:rsidP="003B711F">
      <w:pPr>
        <w:jc w:val="both"/>
        <w:rPr>
          <w:rFonts w:cstheme="minorHAnsi"/>
          <w:sz w:val="24"/>
          <w:szCs w:val="24"/>
          <w:lang w:val="es-CO"/>
        </w:rPr>
      </w:pPr>
    </w:p>
    <w:p w14:paraId="5A310FD1" w14:textId="08644E5A" w:rsidR="005B5C75" w:rsidRPr="00C316F8" w:rsidRDefault="00E96524" w:rsidP="00E96524">
      <w:pPr>
        <w:pStyle w:val="Ttulo1"/>
        <w:rPr>
          <w:lang w:val="es-CO"/>
        </w:rPr>
      </w:pPr>
      <w:bookmarkStart w:id="83" w:name="_Toc229834681"/>
      <w:r w:rsidRPr="00C316F8">
        <w:rPr>
          <w:lang w:val="es-CO"/>
        </w:rPr>
        <w:t>8.5</w:t>
      </w:r>
      <w:r w:rsidRPr="00C316F8">
        <w:rPr>
          <w:lang w:val="es-CO"/>
        </w:rPr>
        <w:tab/>
      </w:r>
      <w:r w:rsidR="005B5C75" w:rsidRPr="00C316F8">
        <w:rPr>
          <w:lang w:val="es-CO"/>
        </w:rPr>
        <w:t>RESULTADOS</w:t>
      </w:r>
      <w:bookmarkEnd w:id="83"/>
    </w:p>
    <w:p w14:paraId="67491405" w14:textId="77777777" w:rsidR="00E96524" w:rsidRPr="00C316F8" w:rsidRDefault="00E96524" w:rsidP="00E96524">
      <w:pPr>
        <w:rPr>
          <w:lang w:val="es-CO"/>
        </w:rPr>
      </w:pPr>
    </w:p>
    <w:p w14:paraId="2738AEF3" w14:textId="20055410" w:rsidR="005B5C75" w:rsidRPr="00C316F8" w:rsidRDefault="005B5C75" w:rsidP="003B711F">
      <w:pPr>
        <w:jc w:val="both"/>
        <w:rPr>
          <w:rFonts w:cstheme="minorHAnsi"/>
          <w:sz w:val="24"/>
          <w:szCs w:val="24"/>
          <w:lang w:val="es-CO"/>
        </w:rPr>
      </w:pPr>
      <w:r w:rsidRPr="00C316F8">
        <w:rPr>
          <w:rFonts w:cstheme="minorHAnsi"/>
          <w:sz w:val="24"/>
          <w:szCs w:val="24"/>
          <w:lang w:val="es-CO"/>
        </w:rPr>
        <w:t>Durante el período comprendido entre el 6 de marzo de 2020 y el 31 de diciembre de 2022, en Colombia se presentaron 6.313.872 casos de COVID-19 y se identificaron 1.005 individuos centenarios afectados, el rango de edad fue de 100 a 114 años, como se detalla en la Tabla 1</w:t>
      </w:r>
      <w:r w:rsidR="00357A1C" w:rsidRPr="00C316F8">
        <w:rPr>
          <w:rFonts w:cstheme="minorHAnsi"/>
          <w:sz w:val="24"/>
          <w:szCs w:val="24"/>
          <w:lang w:val="es-CO"/>
        </w:rPr>
        <w:t>4</w:t>
      </w:r>
      <w:r w:rsidRPr="00C316F8">
        <w:rPr>
          <w:rFonts w:cstheme="minorHAnsi"/>
          <w:sz w:val="24"/>
          <w:szCs w:val="24"/>
          <w:lang w:val="es-CO"/>
        </w:rPr>
        <w:t xml:space="preserve">. El promedio de edad fue de 101.82 años, encontrando en el grupo de centenarios vivos que la edad promedio se situó en 101.9 años, mientras que en el grupo de fallecidos fue de 101.69 años sin diferencias significativas entre ambas medias (p=0.15). El análisis de la distribución por género reveló que el </w:t>
      </w:r>
      <w:r w:rsidR="001D37DB" w:rsidRPr="00C316F8">
        <w:rPr>
          <w:rFonts w:cstheme="minorHAnsi"/>
          <w:sz w:val="24"/>
          <w:szCs w:val="24"/>
          <w:lang w:val="es-CO"/>
        </w:rPr>
        <w:t>65,47%</w:t>
      </w:r>
      <w:r w:rsidRPr="00C316F8">
        <w:rPr>
          <w:rFonts w:cstheme="minorHAnsi"/>
          <w:sz w:val="24"/>
          <w:szCs w:val="24"/>
          <w:lang w:val="es-CO"/>
        </w:rPr>
        <w:t xml:space="preserve"> eran mujeres (n=685), mientras que el </w:t>
      </w:r>
      <w:r w:rsidR="001D37DB" w:rsidRPr="00C316F8">
        <w:rPr>
          <w:rFonts w:cstheme="minorHAnsi"/>
          <w:sz w:val="24"/>
          <w:szCs w:val="24"/>
          <w:lang w:val="es-CO"/>
        </w:rPr>
        <w:t>34,53%</w:t>
      </w:r>
      <w:r w:rsidRPr="00C316F8">
        <w:rPr>
          <w:rFonts w:cstheme="minorHAnsi"/>
          <w:sz w:val="24"/>
          <w:szCs w:val="24"/>
          <w:lang w:val="es-CO"/>
        </w:rPr>
        <w:t xml:space="preserve"> eran hombres (n=347). La tasa de letalidad global fue del </w:t>
      </w:r>
      <w:r w:rsidR="001D37DB" w:rsidRPr="00C316F8">
        <w:rPr>
          <w:rFonts w:cstheme="minorHAnsi"/>
          <w:sz w:val="24"/>
          <w:szCs w:val="24"/>
          <w:lang w:val="es-CO"/>
        </w:rPr>
        <w:t>37,1%</w:t>
      </w:r>
      <w:r w:rsidRPr="00C316F8">
        <w:rPr>
          <w:rFonts w:cstheme="minorHAnsi"/>
          <w:sz w:val="24"/>
          <w:szCs w:val="24"/>
          <w:lang w:val="es-CO"/>
        </w:rPr>
        <w:t xml:space="preserve"> (n=373), siendo más </w:t>
      </w:r>
      <w:r w:rsidR="001D37DB" w:rsidRPr="00C316F8">
        <w:rPr>
          <w:rFonts w:cstheme="minorHAnsi"/>
          <w:sz w:val="24"/>
          <w:szCs w:val="24"/>
          <w:lang w:val="es-CO"/>
        </w:rPr>
        <w:t>elevada</w:t>
      </w:r>
      <w:r w:rsidRPr="00C316F8">
        <w:rPr>
          <w:rFonts w:cstheme="minorHAnsi"/>
          <w:sz w:val="24"/>
          <w:szCs w:val="24"/>
          <w:lang w:val="es-CO"/>
        </w:rPr>
        <w:t xml:space="preserve"> en el género masculino (45</w:t>
      </w:r>
      <w:r w:rsidR="001D37DB" w:rsidRPr="00C316F8">
        <w:rPr>
          <w:rFonts w:cstheme="minorHAnsi"/>
          <w:sz w:val="24"/>
          <w:szCs w:val="24"/>
          <w:lang w:val="es-CO"/>
        </w:rPr>
        <w:t>,</w:t>
      </w:r>
      <w:r w:rsidRPr="00C316F8">
        <w:rPr>
          <w:rFonts w:cstheme="minorHAnsi"/>
          <w:sz w:val="24"/>
          <w:szCs w:val="24"/>
          <w:lang w:val="es-CO"/>
        </w:rPr>
        <w:t xml:space="preserve">24%, n=157) en comparación con el femenino </w:t>
      </w:r>
      <w:r w:rsidR="001D37DB" w:rsidRPr="00C316F8">
        <w:rPr>
          <w:rFonts w:cstheme="minorHAnsi"/>
          <w:sz w:val="24"/>
          <w:szCs w:val="24"/>
          <w:lang w:val="es-CO"/>
        </w:rPr>
        <w:t>(32,83%</w:t>
      </w:r>
      <w:r w:rsidRPr="00C316F8">
        <w:rPr>
          <w:rFonts w:cstheme="minorHAnsi"/>
          <w:sz w:val="24"/>
          <w:szCs w:val="24"/>
          <w:lang w:val="es-CO"/>
        </w:rPr>
        <w:t xml:space="preserve">, n=216), evidenciando una diferencia estadísticamente significativa </w:t>
      </w:r>
      <w:r w:rsidR="001D37DB" w:rsidRPr="00C316F8">
        <w:rPr>
          <w:rFonts w:cstheme="minorHAnsi"/>
          <w:sz w:val="24"/>
          <w:szCs w:val="24"/>
          <w:lang w:val="es-CO"/>
        </w:rPr>
        <w:t>(p=0,0148)</w:t>
      </w:r>
      <w:r w:rsidRPr="00C316F8">
        <w:rPr>
          <w:rFonts w:cstheme="minorHAnsi"/>
          <w:sz w:val="24"/>
          <w:szCs w:val="24"/>
          <w:lang w:val="es-CO"/>
        </w:rPr>
        <w:t xml:space="preserve">. La razón de mortalidad ajustada fue de 1,40 (IC95%: 1,26-1,55), adicionalmente, el odds ratio de la mortalidad para el género masculino fue de </w:t>
      </w:r>
      <w:r w:rsidR="001D37DB" w:rsidRPr="00C316F8">
        <w:rPr>
          <w:rFonts w:cstheme="minorHAnsi"/>
          <w:sz w:val="24"/>
          <w:szCs w:val="24"/>
          <w:lang w:val="es-CO"/>
        </w:rPr>
        <w:t>1,69</w:t>
      </w:r>
      <w:r w:rsidRPr="00C316F8">
        <w:rPr>
          <w:rFonts w:cstheme="minorHAnsi"/>
          <w:sz w:val="24"/>
          <w:szCs w:val="24"/>
          <w:lang w:val="es-CO"/>
        </w:rPr>
        <w:t xml:space="preserve"> (IC </w:t>
      </w:r>
      <w:r w:rsidR="001D37DB" w:rsidRPr="00C316F8">
        <w:rPr>
          <w:rFonts w:cstheme="minorHAnsi"/>
          <w:sz w:val="24"/>
          <w:szCs w:val="24"/>
          <w:lang w:val="es-CO"/>
        </w:rPr>
        <w:t>1,29-2,21)</w:t>
      </w:r>
      <w:r w:rsidRPr="00C316F8">
        <w:rPr>
          <w:rFonts w:cstheme="minorHAnsi"/>
          <w:sz w:val="24"/>
          <w:szCs w:val="24"/>
          <w:lang w:val="es-CO"/>
        </w:rPr>
        <w:t xml:space="preserve">. </w:t>
      </w:r>
    </w:p>
    <w:p w14:paraId="42254126" w14:textId="2D333F54" w:rsidR="005B5C75" w:rsidRPr="00C316F8" w:rsidRDefault="00357A1C" w:rsidP="00357A1C">
      <w:pPr>
        <w:pStyle w:val="Descripcin"/>
        <w:rPr>
          <w:rFonts w:asciiTheme="minorHAnsi" w:hAnsiTheme="minorHAnsi" w:cstheme="minorHAnsi"/>
          <w:bCs/>
          <w:sz w:val="24"/>
          <w:szCs w:val="24"/>
        </w:rPr>
      </w:pPr>
      <w:bookmarkStart w:id="84" w:name="_Toc229834702"/>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14</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Porcentaje por edad de los centenarios durante la pandemia de COVID-19</w:t>
      </w:r>
      <w:bookmarkEnd w:id="84"/>
    </w:p>
    <w:tbl>
      <w:tblPr>
        <w:tblStyle w:val="Tabladelista3-nfasis4"/>
        <w:tblpPr w:leftFromText="141" w:rightFromText="141" w:vertAnchor="text" w:tblpY="1"/>
        <w:tblOverlap w:val="never"/>
        <w:tblW w:w="4440" w:type="dxa"/>
        <w:tblLook w:val="04A0" w:firstRow="1" w:lastRow="0" w:firstColumn="1" w:lastColumn="0" w:noHBand="0" w:noVBand="1"/>
      </w:tblPr>
      <w:tblGrid>
        <w:gridCol w:w="1840"/>
        <w:gridCol w:w="1386"/>
        <w:gridCol w:w="1509"/>
      </w:tblGrid>
      <w:tr w:rsidR="005B5C75" w:rsidRPr="00C316F8" w14:paraId="06AFEAC1" w14:textId="77777777" w:rsidTr="001444F0">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840" w:type="dxa"/>
            <w:noWrap/>
            <w:hideMark/>
          </w:tcPr>
          <w:p w14:paraId="2A41213A"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AGE</w:t>
            </w:r>
          </w:p>
        </w:tc>
        <w:tc>
          <w:tcPr>
            <w:tcW w:w="1300" w:type="dxa"/>
            <w:noWrap/>
            <w:hideMark/>
          </w:tcPr>
          <w:p w14:paraId="1FA4806B" w14:textId="77777777" w:rsidR="005B5C75" w:rsidRPr="00C316F8" w:rsidRDefault="005B5C75" w:rsidP="003B711F">
            <w:pPr>
              <w:jc w:val="both"/>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FRECUENCY</w:t>
            </w:r>
          </w:p>
        </w:tc>
        <w:tc>
          <w:tcPr>
            <w:tcW w:w="1300" w:type="dxa"/>
            <w:noWrap/>
            <w:hideMark/>
          </w:tcPr>
          <w:p w14:paraId="04DF5441" w14:textId="77777777" w:rsidR="005B5C75" w:rsidRPr="00C316F8" w:rsidRDefault="005B5C75" w:rsidP="003B711F">
            <w:pPr>
              <w:jc w:val="both"/>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PERCENTAGE</w:t>
            </w:r>
          </w:p>
        </w:tc>
      </w:tr>
      <w:tr w:rsidR="005B5C75" w:rsidRPr="00C316F8" w14:paraId="25438E8E" w14:textId="77777777" w:rsidTr="001444F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25CD96E0"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100</w:t>
            </w:r>
          </w:p>
        </w:tc>
        <w:tc>
          <w:tcPr>
            <w:tcW w:w="1300" w:type="dxa"/>
            <w:noWrap/>
            <w:hideMark/>
          </w:tcPr>
          <w:p w14:paraId="5B21E205"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362</w:t>
            </w:r>
          </w:p>
        </w:tc>
        <w:tc>
          <w:tcPr>
            <w:tcW w:w="1300" w:type="dxa"/>
            <w:noWrap/>
            <w:hideMark/>
          </w:tcPr>
          <w:p w14:paraId="3DE8C111"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36,02</w:t>
            </w:r>
          </w:p>
        </w:tc>
      </w:tr>
      <w:tr w:rsidR="005B5C75" w:rsidRPr="00C316F8" w14:paraId="756A6FC9" w14:textId="77777777" w:rsidTr="001444F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2BC0AE36"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101</w:t>
            </w:r>
          </w:p>
        </w:tc>
        <w:tc>
          <w:tcPr>
            <w:tcW w:w="1300" w:type="dxa"/>
            <w:noWrap/>
            <w:hideMark/>
          </w:tcPr>
          <w:p w14:paraId="19E8122E"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226</w:t>
            </w:r>
          </w:p>
        </w:tc>
        <w:tc>
          <w:tcPr>
            <w:tcW w:w="1300" w:type="dxa"/>
            <w:noWrap/>
            <w:hideMark/>
          </w:tcPr>
          <w:p w14:paraId="770E29E7"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22,49</w:t>
            </w:r>
          </w:p>
        </w:tc>
      </w:tr>
      <w:tr w:rsidR="005B5C75" w:rsidRPr="00C316F8" w14:paraId="75E480E5" w14:textId="77777777" w:rsidTr="001444F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0F4F6F61"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102</w:t>
            </w:r>
          </w:p>
        </w:tc>
        <w:tc>
          <w:tcPr>
            <w:tcW w:w="1300" w:type="dxa"/>
            <w:noWrap/>
            <w:hideMark/>
          </w:tcPr>
          <w:p w14:paraId="75708B5E"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140</w:t>
            </w:r>
          </w:p>
        </w:tc>
        <w:tc>
          <w:tcPr>
            <w:tcW w:w="1300" w:type="dxa"/>
            <w:noWrap/>
            <w:hideMark/>
          </w:tcPr>
          <w:p w14:paraId="799F78A6"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13,93</w:t>
            </w:r>
          </w:p>
        </w:tc>
      </w:tr>
      <w:tr w:rsidR="005B5C75" w:rsidRPr="00C316F8" w14:paraId="2587F241" w14:textId="77777777" w:rsidTr="001444F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5A31D67D"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103</w:t>
            </w:r>
          </w:p>
        </w:tc>
        <w:tc>
          <w:tcPr>
            <w:tcW w:w="1300" w:type="dxa"/>
            <w:noWrap/>
            <w:hideMark/>
          </w:tcPr>
          <w:p w14:paraId="44FE58A5"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103</w:t>
            </w:r>
          </w:p>
        </w:tc>
        <w:tc>
          <w:tcPr>
            <w:tcW w:w="1300" w:type="dxa"/>
            <w:noWrap/>
            <w:hideMark/>
          </w:tcPr>
          <w:p w14:paraId="6C9B869C"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10,25</w:t>
            </w:r>
          </w:p>
        </w:tc>
      </w:tr>
      <w:tr w:rsidR="005B5C75" w:rsidRPr="00C316F8" w14:paraId="6DAF84D1" w14:textId="77777777" w:rsidTr="001444F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6B656A86"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104</w:t>
            </w:r>
          </w:p>
        </w:tc>
        <w:tc>
          <w:tcPr>
            <w:tcW w:w="1300" w:type="dxa"/>
            <w:noWrap/>
            <w:hideMark/>
          </w:tcPr>
          <w:p w14:paraId="2CB47863"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69</w:t>
            </w:r>
          </w:p>
        </w:tc>
        <w:tc>
          <w:tcPr>
            <w:tcW w:w="1300" w:type="dxa"/>
            <w:noWrap/>
            <w:hideMark/>
          </w:tcPr>
          <w:p w14:paraId="227B426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6,87</w:t>
            </w:r>
          </w:p>
        </w:tc>
      </w:tr>
      <w:tr w:rsidR="005B5C75" w:rsidRPr="00C316F8" w14:paraId="7FC05ACE" w14:textId="77777777" w:rsidTr="001444F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01873B7E"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105</w:t>
            </w:r>
          </w:p>
        </w:tc>
        <w:tc>
          <w:tcPr>
            <w:tcW w:w="1300" w:type="dxa"/>
            <w:noWrap/>
            <w:hideMark/>
          </w:tcPr>
          <w:p w14:paraId="3C02041A"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33</w:t>
            </w:r>
          </w:p>
        </w:tc>
        <w:tc>
          <w:tcPr>
            <w:tcW w:w="1300" w:type="dxa"/>
            <w:noWrap/>
            <w:hideMark/>
          </w:tcPr>
          <w:p w14:paraId="34641D2F"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3,28</w:t>
            </w:r>
          </w:p>
        </w:tc>
      </w:tr>
      <w:tr w:rsidR="005B5C75" w:rsidRPr="00C316F8" w14:paraId="4EF713AF" w14:textId="77777777" w:rsidTr="001444F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11687CA9"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106</w:t>
            </w:r>
          </w:p>
        </w:tc>
        <w:tc>
          <w:tcPr>
            <w:tcW w:w="1300" w:type="dxa"/>
            <w:noWrap/>
            <w:hideMark/>
          </w:tcPr>
          <w:p w14:paraId="7083218E"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28</w:t>
            </w:r>
          </w:p>
        </w:tc>
        <w:tc>
          <w:tcPr>
            <w:tcW w:w="1300" w:type="dxa"/>
            <w:noWrap/>
            <w:hideMark/>
          </w:tcPr>
          <w:p w14:paraId="71AB2D55"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2,79</w:t>
            </w:r>
          </w:p>
        </w:tc>
      </w:tr>
      <w:tr w:rsidR="005B5C75" w:rsidRPr="00C316F8" w14:paraId="7646ECFA" w14:textId="77777777" w:rsidTr="001444F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77BAF983"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107</w:t>
            </w:r>
          </w:p>
        </w:tc>
        <w:tc>
          <w:tcPr>
            <w:tcW w:w="1300" w:type="dxa"/>
            <w:noWrap/>
            <w:hideMark/>
          </w:tcPr>
          <w:p w14:paraId="5B0307BB"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1300" w:type="dxa"/>
            <w:noWrap/>
            <w:hideMark/>
          </w:tcPr>
          <w:p w14:paraId="1E4C7591"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1,09</w:t>
            </w:r>
          </w:p>
        </w:tc>
      </w:tr>
      <w:tr w:rsidR="005B5C75" w:rsidRPr="00C316F8" w14:paraId="08E442BB" w14:textId="77777777" w:rsidTr="001444F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19FE2098"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108</w:t>
            </w:r>
          </w:p>
        </w:tc>
        <w:tc>
          <w:tcPr>
            <w:tcW w:w="1300" w:type="dxa"/>
            <w:noWrap/>
            <w:hideMark/>
          </w:tcPr>
          <w:p w14:paraId="45351EBE"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w:t>
            </w:r>
          </w:p>
        </w:tc>
        <w:tc>
          <w:tcPr>
            <w:tcW w:w="1300" w:type="dxa"/>
            <w:noWrap/>
            <w:hideMark/>
          </w:tcPr>
          <w:p w14:paraId="21E9295B"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0,9</w:t>
            </w:r>
          </w:p>
        </w:tc>
      </w:tr>
      <w:tr w:rsidR="005B5C75" w:rsidRPr="00C316F8" w14:paraId="408DCBF8" w14:textId="77777777" w:rsidTr="001444F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37E0BC07"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109</w:t>
            </w:r>
          </w:p>
        </w:tc>
        <w:tc>
          <w:tcPr>
            <w:tcW w:w="1300" w:type="dxa"/>
            <w:noWrap/>
            <w:hideMark/>
          </w:tcPr>
          <w:p w14:paraId="439A25F2"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w:t>
            </w:r>
          </w:p>
        </w:tc>
        <w:tc>
          <w:tcPr>
            <w:tcW w:w="1300" w:type="dxa"/>
            <w:noWrap/>
            <w:hideMark/>
          </w:tcPr>
          <w:p w14:paraId="0BAE80BF"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0,5</w:t>
            </w:r>
          </w:p>
        </w:tc>
      </w:tr>
      <w:tr w:rsidR="005B5C75" w:rsidRPr="00C316F8" w14:paraId="0446FA2E" w14:textId="77777777" w:rsidTr="001444F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1AD6C5DC"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110</w:t>
            </w:r>
          </w:p>
        </w:tc>
        <w:tc>
          <w:tcPr>
            <w:tcW w:w="1300" w:type="dxa"/>
            <w:noWrap/>
            <w:hideMark/>
          </w:tcPr>
          <w:p w14:paraId="3C713774"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7</w:t>
            </w:r>
          </w:p>
        </w:tc>
        <w:tc>
          <w:tcPr>
            <w:tcW w:w="1300" w:type="dxa"/>
            <w:noWrap/>
            <w:hideMark/>
          </w:tcPr>
          <w:p w14:paraId="5E692F43"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0,7</w:t>
            </w:r>
          </w:p>
        </w:tc>
      </w:tr>
      <w:tr w:rsidR="005B5C75" w:rsidRPr="00C316F8" w14:paraId="01994404" w14:textId="77777777" w:rsidTr="001444F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31F86C36"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111</w:t>
            </w:r>
          </w:p>
        </w:tc>
        <w:tc>
          <w:tcPr>
            <w:tcW w:w="1300" w:type="dxa"/>
            <w:noWrap/>
            <w:hideMark/>
          </w:tcPr>
          <w:p w14:paraId="225C219F"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w:t>
            </w:r>
          </w:p>
        </w:tc>
        <w:tc>
          <w:tcPr>
            <w:tcW w:w="1300" w:type="dxa"/>
            <w:noWrap/>
            <w:hideMark/>
          </w:tcPr>
          <w:p w14:paraId="4382879C"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0,5</w:t>
            </w:r>
          </w:p>
        </w:tc>
      </w:tr>
      <w:tr w:rsidR="005B5C75" w:rsidRPr="00C316F8" w14:paraId="507A7C39" w14:textId="77777777" w:rsidTr="001444F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6FD306D8"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112</w:t>
            </w:r>
          </w:p>
        </w:tc>
        <w:tc>
          <w:tcPr>
            <w:tcW w:w="1300" w:type="dxa"/>
            <w:noWrap/>
            <w:hideMark/>
          </w:tcPr>
          <w:p w14:paraId="0DBA91EC"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w:t>
            </w:r>
          </w:p>
        </w:tc>
        <w:tc>
          <w:tcPr>
            <w:tcW w:w="1300" w:type="dxa"/>
            <w:noWrap/>
            <w:hideMark/>
          </w:tcPr>
          <w:p w14:paraId="497CB6B8"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0,3</w:t>
            </w:r>
          </w:p>
        </w:tc>
      </w:tr>
      <w:tr w:rsidR="005B5C75" w:rsidRPr="00C316F8" w14:paraId="3849925B" w14:textId="77777777" w:rsidTr="001444F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05FC6636"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lastRenderedPageBreak/>
              <w:t>113</w:t>
            </w:r>
          </w:p>
        </w:tc>
        <w:tc>
          <w:tcPr>
            <w:tcW w:w="1300" w:type="dxa"/>
            <w:noWrap/>
            <w:hideMark/>
          </w:tcPr>
          <w:p w14:paraId="3EE9CE61"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1300" w:type="dxa"/>
            <w:noWrap/>
            <w:hideMark/>
          </w:tcPr>
          <w:p w14:paraId="2A9F31E3"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0,1</w:t>
            </w:r>
          </w:p>
        </w:tc>
      </w:tr>
      <w:tr w:rsidR="005B5C75" w:rsidRPr="00C316F8" w14:paraId="79ED6580" w14:textId="77777777" w:rsidTr="001444F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79806C12"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114</w:t>
            </w:r>
          </w:p>
        </w:tc>
        <w:tc>
          <w:tcPr>
            <w:tcW w:w="1300" w:type="dxa"/>
            <w:noWrap/>
            <w:hideMark/>
          </w:tcPr>
          <w:p w14:paraId="4EBEE586"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w:t>
            </w:r>
          </w:p>
        </w:tc>
        <w:tc>
          <w:tcPr>
            <w:tcW w:w="1300" w:type="dxa"/>
            <w:noWrap/>
            <w:hideMark/>
          </w:tcPr>
          <w:p w14:paraId="0C78309B"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0,3</w:t>
            </w:r>
          </w:p>
        </w:tc>
      </w:tr>
      <w:tr w:rsidR="005B5C75" w:rsidRPr="00C316F8" w14:paraId="3A76CFB1" w14:textId="77777777" w:rsidTr="001444F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235BCC5F"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Total</w:t>
            </w:r>
          </w:p>
        </w:tc>
        <w:tc>
          <w:tcPr>
            <w:tcW w:w="1300" w:type="dxa"/>
            <w:noWrap/>
            <w:hideMark/>
          </w:tcPr>
          <w:p w14:paraId="13BC2F82"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bCs/>
                <w:color w:val="000000"/>
                <w:sz w:val="24"/>
                <w:szCs w:val="24"/>
                <w:lang w:eastAsia="es-CO"/>
                <w14:ligatures w14:val="none"/>
              </w:rPr>
            </w:pPr>
            <w:r w:rsidRPr="00C316F8">
              <w:rPr>
                <w:rFonts w:eastAsia="Times New Roman" w:cstheme="minorHAnsi"/>
                <w:bCs/>
                <w:color w:val="000000"/>
                <w:sz w:val="24"/>
                <w:szCs w:val="24"/>
                <w:lang w:eastAsia="es-CO"/>
                <w14:ligatures w14:val="none"/>
              </w:rPr>
              <w:t>1,005</w:t>
            </w:r>
          </w:p>
        </w:tc>
        <w:tc>
          <w:tcPr>
            <w:tcW w:w="1300" w:type="dxa"/>
            <w:noWrap/>
            <w:hideMark/>
          </w:tcPr>
          <w:p w14:paraId="35773D48"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bCs/>
                <w:color w:val="000000"/>
                <w:sz w:val="24"/>
                <w:szCs w:val="24"/>
                <w:lang w:eastAsia="es-CO"/>
                <w14:ligatures w14:val="none"/>
              </w:rPr>
            </w:pPr>
            <w:r w:rsidRPr="00C316F8">
              <w:rPr>
                <w:rFonts w:eastAsia="Times New Roman" w:cstheme="minorHAnsi"/>
                <w:bCs/>
                <w:color w:val="000000"/>
                <w:sz w:val="24"/>
                <w:szCs w:val="24"/>
                <w:lang w:eastAsia="es-CO"/>
                <w14:ligatures w14:val="none"/>
              </w:rPr>
              <w:t>100</w:t>
            </w:r>
          </w:p>
        </w:tc>
      </w:tr>
    </w:tbl>
    <w:p w14:paraId="26B4B515" w14:textId="77777777" w:rsidR="00491C13" w:rsidRPr="00C316F8" w:rsidRDefault="005B5C75" w:rsidP="00491C13">
      <w:pPr>
        <w:jc w:val="both"/>
        <w:rPr>
          <w:rFonts w:eastAsia="Calibri" w:cstheme="minorHAnsi"/>
          <w:sz w:val="24"/>
          <w:szCs w:val="24"/>
          <w:lang w:val="es-CO"/>
        </w:rPr>
      </w:pPr>
      <w:r w:rsidRPr="00C316F8">
        <w:rPr>
          <w:rFonts w:cstheme="minorHAnsi"/>
          <w:sz w:val="24"/>
          <w:szCs w:val="24"/>
        </w:rPr>
        <w:br w:type="textWrapping" w:clear="all"/>
      </w:r>
      <w:r w:rsidR="00491C13" w:rsidRPr="00C316F8">
        <w:rPr>
          <w:rFonts w:eastAsia="Calibri" w:cstheme="minorHAnsi"/>
          <w:sz w:val="24"/>
          <w:szCs w:val="24"/>
          <w:lang w:val="es-CO"/>
        </w:rPr>
        <w:t>Fuente, elaboración propia.</w:t>
      </w:r>
    </w:p>
    <w:p w14:paraId="2B8EBBF5" w14:textId="61D50186"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La figura </w:t>
      </w:r>
      <w:r w:rsidR="00357A1C" w:rsidRPr="00C316F8">
        <w:rPr>
          <w:rFonts w:cstheme="minorHAnsi"/>
          <w:sz w:val="24"/>
          <w:szCs w:val="24"/>
          <w:lang w:val="es-CO"/>
        </w:rPr>
        <w:t>7</w:t>
      </w:r>
      <w:r w:rsidRPr="00C316F8">
        <w:rPr>
          <w:rFonts w:cstheme="minorHAnsi"/>
          <w:sz w:val="24"/>
          <w:szCs w:val="24"/>
          <w:lang w:val="es-CO"/>
        </w:rPr>
        <w:t xml:space="preserve"> presenta la tasa de letalidad a lo largo de los años de estudio. En el año 2020 fue del 38</w:t>
      </w:r>
      <w:r w:rsidR="001D37DB" w:rsidRPr="00C316F8">
        <w:rPr>
          <w:rFonts w:cstheme="minorHAnsi"/>
          <w:sz w:val="24"/>
          <w:szCs w:val="24"/>
          <w:lang w:val="es-CO"/>
        </w:rPr>
        <w:t>,</w:t>
      </w:r>
      <w:r w:rsidRPr="00C316F8">
        <w:rPr>
          <w:rFonts w:cstheme="minorHAnsi"/>
          <w:sz w:val="24"/>
          <w:szCs w:val="24"/>
          <w:lang w:val="es-CO"/>
        </w:rPr>
        <w:t>1%, incrementándose ligeramente al 38</w:t>
      </w:r>
      <w:r w:rsidR="001D37DB" w:rsidRPr="00C316F8">
        <w:rPr>
          <w:rFonts w:cstheme="minorHAnsi"/>
          <w:sz w:val="24"/>
          <w:szCs w:val="24"/>
          <w:lang w:val="es-CO"/>
        </w:rPr>
        <w:t>,</w:t>
      </w:r>
      <w:r w:rsidRPr="00C316F8">
        <w:rPr>
          <w:rFonts w:cstheme="minorHAnsi"/>
          <w:sz w:val="24"/>
          <w:szCs w:val="24"/>
          <w:lang w:val="es-CO"/>
        </w:rPr>
        <w:t>94% en 2021, para luego experimentar una disminución a un 33</w:t>
      </w:r>
      <w:r w:rsidR="001D37DB" w:rsidRPr="00C316F8">
        <w:rPr>
          <w:rFonts w:cstheme="minorHAnsi"/>
          <w:sz w:val="24"/>
          <w:szCs w:val="24"/>
          <w:lang w:val="es-CO"/>
        </w:rPr>
        <w:t>,</w:t>
      </w:r>
      <w:r w:rsidRPr="00C316F8">
        <w:rPr>
          <w:rFonts w:cstheme="minorHAnsi"/>
          <w:sz w:val="24"/>
          <w:szCs w:val="24"/>
          <w:lang w:val="es-CO"/>
        </w:rPr>
        <w:t xml:space="preserve">56% en 2022. Es importante destacar que las diferencias entre los porcentajes no alcanzaron significancia estadística (p=0.309). </w:t>
      </w:r>
    </w:p>
    <w:p w14:paraId="6CDCD399" w14:textId="3291CE79"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La tasa de mortalidad por 10,000 habitantes durante los años 2020, 2021 y 2022, y las variaciones específicas por género se comentan a continuación: </w:t>
      </w:r>
      <w:r w:rsidR="001D37DB" w:rsidRPr="00C316F8">
        <w:rPr>
          <w:rFonts w:cstheme="minorHAnsi"/>
          <w:sz w:val="24"/>
          <w:szCs w:val="24"/>
          <w:lang w:val="es-CO"/>
        </w:rPr>
        <w:t>se</w:t>
      </w:r>
      <w:r w:rsidRPr="00C316F8">
        <w:rPr>
          <w:rFonts w:cstheme="minorHAnsi"/>
          <w:sz w:val="24"/>
          <w:szCs w:val="24"/>
          <w:lang w:val="es-CO"/>
        </w:rPr>
        <w:t xml:space="preserve"> observa una variabilidad sustancial en las tasas de mortalidad a lo largo del período estudiado. En 2020, la tasa general fue de </w:t>
      </w:r>
      <w:r w:rsidR="001D37DB" w:rsidRPr="00C316F8">
        <w:rPr>
          <w:rFonts w:cstheme="minorHAnsi"/>
          <w:sz w:val="24"/>
          <w:szCs w:val="24"/>
          <w:lang w:val="es-CO"/>
        </w:rPr>
        <w:t>43,57</w:t>
      </w:r>
      <w:r w:rsidRPr="00C316F8">
        <w:rPr>
          <w:rFonts w:cstheme="minorHAnsi"/>
          <w:sz w:val="24"/>
          <w:szCs w:val="24"/>
          <w:lang w:val="es-CO"/>
        </w:rPr>
        <w:t xml:space="preserve">, aumentando a </w:t>
      </w:r>
      <w:r w:rsidR="001D37DB" w:rsidRPr="00C316F8">
        <w:rPr>
          <w:rFonts w:cstheme="minorHAnsi"/>
          <w:sz w:val="24"/>
          <w:szCs w:val="24"/>
          <w:lang w:val="es-CO"/>
        </w:rPr>
        <w:t>75,15</w:t>
      </w:r>
      <w:r w:rsidRPr="00C316F8">
        <w:rPr>
          <w:rFonts w:cstheme="minorHAnsi"/>
          <w:sz w:val="24"/>
          <w:szCs w:val="24"/>
          <w:lang w:val="es-CO"/>
        </w:rPr>
        <w:t xml:space="preserve"> en 2021 y posteriormente disminuyendo a </w:t>
      </w:r>
      <w:r w:rsidR="001D37DB" w:rsidRPr="00C316F8">
        <w:rPr>
          <w:rFonts w:cstheme="minorHAnsi"/>
          <w:sz w:val="24"/>
          <w:szCs w:val="24"/>
          <w:lang w:val="es-CO"/>
        </w:rPr>
        <w:t>48,02</w:t>
      </w:r>
      <w:r w:rsidRPr="00C316F8">
        <w:rPr>
          <w:rFonts w:cstheme="minorHAnsi"/>
          <w:sz w:val="24"/>
          <w:szCs w:val="24"/>
          <w:lang w:val="es-CO"/>
        </w:rPr>
        <w:t xml:space="preserve"> en 2022. Al desglosar por género, se evidencia que la tasa de mortalidad para hombres fue de </w:t>
      </w:r>
      <w:r w:rsidR="001D37DB" w:rsidRPr="00C316F8">
        <w:rPr>
          <w:rFonts w:cstheme="minorHAnsi"/>
          <w:sz w:val="24"/>
          <w:szCs w:val="24"/>
          <w:lang w:val="es-CO"/>
        </w:rPr>
        <w:t>45,84</w:t>
      </w:r>
      <w:r w:rsidRPr="00C316F8">
        <w:rPr>
          <w:rFonts w:cstheme="minorHAnsi"/>
          <w:sz w:val="24"/>
          <w:szCs w:val="24"/>
          <w:lang w:val="es-CO"/>
        </w:rPr>
        <w:t xml:space="preserve"> en 2020, experimentó un notable aumento a </w:t>
      </w:r>
      <w:r w:rsidR="001D37DB" w:rsidRPr="00C316F8">
        <w:rPr>
          <w:rFonts w:cstheme="minorHAnsi"/>
          <w:sz w:val="24"/>
          <w:szCs w:val="24"/>
          <w:lang w:val="es-CO"/>
        </w:rPr>
        <w:t>74,88</w:t>
      </w:r>
      <w:r w:rsidRPr="00C316F8">
        <w:rPr>
          <w:rFonts w:cstheme="minorHAnsi"/>
          <w:sz w:val="24"/>
          <w:szCs w:val="24"/>
          <w:lang w:val="es-CO"/>
        </w:rPr>
        <w:t xml:space="preserve"> en 2021 y luego disminuyó a </w:t>
      </w:r>
      <w:r w:rsidR="001D37DB" w:rsidRPr="00C316F8">
        <w:rPr>
          <w:rFonts w:cstheme="minorHAnsi"/>
          <w:sz w:val="24"/>
          <w:szCs w:val="24"/>
          <w:lang w:val="es-CO"/>
        </w:rPr>
        <w:t>53,47</w:t>
      </w:r>
      <w:r w:rsidRPr="00C316F8">
        <w:rPr>
          <w:rFonts w:cstheme="minorHAnsi"/>
          <w:sz w:val="24"/>
          <w:szCs w:val="24"/>
          <w:lang w:val="es-CO"/>
        </w:rPr>
        <w:t xml:space="preserve"> en 2022. Mientras tanto, las mujeres presentaron una tasa de mortalidad de </w:t>
      </w:r>
      <w:r w:rsidR="001D37DB" w:rsidRPr="00C316F8">
        <w:rPr>
          <w:rFonts w:cstheme="minorHAnsi"/>
          <w:sz w:val="24"/>
          <w:szCs w:val="24"/>
          <w:lang w:val="es-CO"/>
        </w:rPr>
        <w:t>42,4</w:t>
      </w:r>
      <w:r w:rsidRPr="00C316F8">
        <w:rPr>
          <w:rFonts w:cstheme="minorHAnsi"/>
          <w:sz w:val="24"/>
          <w:szCs w:val="24"/>
          <w:lang w:val="es-CO"/>
        </w:rPr>
        <w:t xml:space="preserve"> en 2020, seguida de un aumento a </w:t>
      </w:r>
      <w:r w:rsidR="001D37DB" w:rsidRPr="00C316F8">
        <w:rPr>
          <w:rFonts w:cstheme="minorHAnsi"/>
          <w:sz w:val="24"/>
          <w:szCs w:val="24"/>
          <w:lang w:val="es-CO"/>
        </w:rPr>
        <w:t>75,33</w:t>
      </w:r>
      <w:r w:rsidRPr="00C316F8">
        <w:rPr>
          <w:rFonts w:cstheme="minorHAnsi"/>
          <w:sz w:val="24"/>
          <w:szCs w:val="24"/>
          <w:lang w:val="es-CO"/>
        </w:rPr>
        <w:t xml:space="preserve"> en 2021 y una disminución a </w:t>
      </w:r>
      <w:r w:rsidR="001D37DB" w:rsidRPr="00C316F8">
        <w:rPr>
          <w:rFonts w:cstheme="minorHAnsi"/>
          <w:sz w:val="24"/>
          <w:szCs w:val="24"/>
          <w:lang w:val="es-CO"/>
        </w:rPr>
        <w:t>44,32</w:t>
      </w:r>
      <w:r w:rsidRPr="00C316F8">
        <w:rPr>
          <w:rFonts w:cstheme="minorHAnsi"/>
          <w:sz w:val="24"/>
          <w:szCs w:val="24"/>
          <w:lang w:val="es-CO"/>
        </w:rPr>
        <w:t xml:space="preserve"> en 2022.</w:t>
      </w:r>
    </w:p>
    <w:p w14:paraId="6EAE92E9" w14:textId="36BEA2B7" w:rsidR="005B5C75" w:rsidRPr="00C316F8" w:rsidRDefault="00357A1C" w:rsidP="00357A1C">
      <w:pPr>
        <w:pStyle w:val="Descripcin"/>
        <w:rPr>
          <w:rFonts w:asciiTheme="minorHAnsi" w:hAnsiTheme="minorHAnsi" w:cstheme="minorHAnsi"/>
          <w:b/>
          <w:bCs/>
          <w:i w:val="0"/>
          <w:iCs w:val="0"/>
          <w:color w:val="auto"/>
          <w:sz w:val="24"/>
          <w:szCs w:val="24"/>
        </w:rPr>
      </w:pPr>
      <w:bookmarkStart w:id="85" w:name="_Toc229834712"/>
      <w:r w:rsidRPr="00C316F8">
        <w:rPr>
          <w:rFonts w:asciiTheme="minorHAnsi" w:hAnsiTheme="minorHAnsi" w:cstheme="minorHAnsi"/>
          <w:b/>
          <w:bCs/>
          <w:i w:val="0"/>
          <w:iCs w:val="0"/>
          <w:color w:val="auto"/>
          <w:sz w:val="24"/>
          <w:szCs w:val="24"/>
        </w:rPr>
        <w:t xml:space="preserve">Figura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Figura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7</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Tasa de letalidad por año en pandemia COVID-19</w:t>
      </w:r>
      <w:bookmarkEnd w:id="85"/>
    </w:p>
    <w:p w14:paraId="7B9A0A1B" w14:textId="77777777" w:rsidR="005B5C75" w:rsidRPr="00C316F8" w:rsidRDefault="005B5C75" w:rsidP="003B711F">
      <w:pPr>
        <w:jc w:val="both"/>
        <w:rPr>
          <w:rFonts w:cstheme="minorHAnsi"/>
          <w:sz w:val="24"/>
          <w:szCs w:val="24"/>
        </w:rPr>
      </w:pPr>
      <w:r w:rsidRPr="00C316F8">
        <w:rPr>
          <w:rFonts w:cstheme="minorHAnsi"/>
          <w:noProof/>
          <w:sz w:val="24"/>
          <w:szCs w:val="24"/>
        </w:rPr>
        <w:drawing>
          <wp:inline distT="0" distB="0" distL="0" distR="0" wp14:anchorId="6195605F" wp14:editId="3A9F0BDB">
            <wp:extent cx="4171950" cy="2447925"/>
            <wp:effectExtent l="0" t="0" r="0" b="9525"/>
            <wp:docPr id="1774059525"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059525" name="Imagen 1" descr="Gráfico, Gráfico de barras&#10;&#10;Descripción generada automáticame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71950" cy="2447925"/>
                    </a:xfrm>
                    <a:prstGeom prst="rect">
                      <a:avLst/>
                    </a:prstGeom>
                    <a:noFill/>
                    <a:ln>
                      <a:noFill/>
                    </a:ln>
                  </pic:spPr>
                </pic:pic>
              </a:graphicData>
            </a:graphic>
          </wp:inline>
        </w:drawing>
      </w:r>
    </w:p>
    <w:p w14:paraId="40110624" w14:textId="77777777" w:rsidR="00491C13" w:rsidRPr="00C316F8" w:rsidRDefault="00491C13" w:rsidP="00491C13">
      <w:pPr>
        <w:jc w:val="both"/>
        <w:rPr>
          <w:rFonts w:eastAsia="Calibri" w:cstheme="minorHAnsi"/>
          <w:sz w:val="24"/>
          <w:szCs w:val="24"/>
          <w:lang w:val="es-CO"/>
        </w:rPr>
      </w:pPr>
      <w:r w:rsidRPr="00C316F8">
        <w:rPr>
          <w:rFonts w:eastAsia="Calibri" w:cstheme="minorHAnsi"/>
          <w:sz w:val="24"/>
          <w:szCs w:val="24"/>
          <w:lang w:val="es-CO"/>
        </w:rPr>
        <w:t>Fuente, elaboración propia.</w:t>
      </w:r>
    </w:p>
    <w:p w14:paraId="5F82A7DD" w14:textId="77777777" w:rsidR="005B5C75" w:rsidRPr="00C316F8" w:rsidRDefault="005B5C75" w:rsidP="003B711F">
      <w:pPr>
        <w:jc w:val="both"/>
        <w:rPr>
          <w:rFonts w:cstheme="minorHAnsi"/>
          <w:sz w:val="24"/>
          <w:szCs w:val="24"/>
          <w:lang w:val="es-CO"/>
        </w:rPr>
      </w:pPr>
    </w:p>
    <w:p w14:paraId="326EC571" w14:textId="14E2F70D" w:rsidR="005B5C75" w:rsidRPr="00C316F8" w:rsidRDefault="005B5C75" w:rsidP="003B711F">
      <w:pPr>
        <w:jc w:val="both"/>
        <w:rPr>
          <w:rFonts w:cstheme="minorHAnsi"/>
          <w:sz w:val="24"/>
          <w:szCs w:val="24"/>
          <w:lang w:val="es-CO"/>
        </w:rPr>
      </w:pPr>
      <w:r w:rsidRPr="00C316F8">
        <w:rPr>
          <w:rFonts w:cstheme="minorHAnsi"/>
          <w:sz w:val="24"/>
          <w:szCs w:val="24"/>
          <w:lang w:val="es-CO"/>
        </w:rPr>
        <w:t>La representación gráfica de la pirámide poblacional proporciona una visión detallada de centenarios distribuidos según edades y género</w:t>
      </w:r>
      <w:r w:rsidR="0037479F" w:rsidRPr="00C316F8">
        <w:rPr>
          <w:rFonts w:cstheme="minorHAnsi"/>
          <w:sz w:val="24"/>
          <w:szCs w:val="24"/>
          <w:lang w:val="es-CO"/>
        </w:rPr>
        <w:t xml:space="preserve"> (Figura 8)</w:t>
      </w:r>
      <w:r w:rsidRPr="00C316F8">
        <w:rPr>
          <w:rFonts w:cstheme="minorHAnsi"/>
          <w:sz w:val="24"/>
          <w:szCs w:val="24"/>
          <w:lang w:val="es-CO"/>
        </w:rPr>
        <w:t xml:space="preserve">. Se destaca un notable predominio en el género femenino, evidenciando una estructura demográfica que presenta una base amplia y una cúspide estrecha. Este diseño refleja que la mayoría de la población centenaria se concentra en el rango de edad de 100 a 104 años, mientras que los </w:t>
      </w:r>
      <w:r w:rsidRPr="00C316F8">
        <w:rPr>
          <w:rFonts w:cstheme="minorHAnsi"/>
          <w:sz w:val="24"/>
          <w:szCs w:val="24"/>
          <w:lang w:val="es-CO"/>
        </w:rPr>
        <w:lastRenderedPageBreak/>
        <w:t>supracentenarios, representados en la cúspide de la pirámide, conforman un segmento poblacional de menor proporción.</w:t>
      </w:r>
    </w:p>
    <w:p w14:paraId="77643118" w14:textId="7240D847" w:rsidR="0037479F" w:rsidRPr="00C316F8" w:rsidRDefault="0037479F" w:rsidP="0037479F">
      <w:pPr>
        <w:pStyle w:val="Descripcin"/>
        <w:rPr>
          <w:rFonts w:asciiTheme="minorHAnsi" w:hAnsiTheme="minorHAnsi" w:cstheme="minorHAnsi"/>
          <w:b/>
          <w:bCs/>
          <w:i w:val="0"/>
          <w:iCs w:val="0"/>
          <w:color w:val="auto"/>
          <w:sz w:val="24"/>
          <w:szCs w:val="24"/>
        </w:rPr>
      </w:pPr>
      <w:bookmarkStart w:id="86" w:name="_Toc229834713"/>
      <w:r w:rsidRPr="00C316F8">
        <w:rPr>
          <w:rFonts w:asciiTheme="minorHAnsi" w:hAnsiTheme="minorHAnsi" w:cstheme="minorHAnsi"/>
          <w:b/>
          <w:bCs/>
          <w:i w:val="0"/>
          <w:iCs w:val="0"/>
          <w:color w:val="auto"/>
          <w:sz w:val="24"/>
          <w:szCs w:val="24"/>
        </w:rPr>
        <w:t xml:space="preserve">Figura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Figura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8</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Pirámide poblacional de centenarios en pandemia COVID-19</w:t>
      </w:r>
      <w:bookmarkEnd w:id="86"/>
    </w:p>
    <w:p w14:paraId="3BFAB2EC" w14:textId="77777777" w:rsidR="005B5C75" w:rsidRPr="00C316F8" w:rsidRDefault="005B5C75" w:rsidP="003B711F">
      <w:pPr>
        <w:jc w:val="both"/>
        <w:rPr>
          <w:rFonts w:cstheme="minorHAnsi"/>
          <w:sz w:val="24"/>
          <w:szCs w:val="24"/>
        </w:rPr>
      </w:pPr>
      <w:r w:rsidRPr="00C316F8">
        <w:rPr>
          <w:rFonts w:cstheme="minorHAnsi"/>
          <w:noProof/>
          <w:sz w:val="24"/>
          <w:szCs w:val="24"/>
        </w:rPr>
        <w:drawing>
          <wp:inline distT="0" distB="0" distL="0" distR="0" wp14:anchorId="0296A741" wp14:editId="689B2228">
            <wp:extent cx="5612130" cy="3432810"/>
            <wp:effectExtent l="0" t="0" r="7620" b="0"/>
            <wp:docPr id="67839325" name="Imagen 4"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39325" name="Imagen 4" descr="Gráfico&#10;&#10;Descripción generada automáticament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2130" cy="3432810"/>
                    </a:xfrm>
                    <a:prstGeom prst="rect">
                      <a:avLst/>
                    </a:prstGeom>
                    <a:noFill/>
                    <a:ln>
                      <a:noFill/>
                    </a:ln>
                  </pic:spPr>
                </pic:pic>
              </a:graphicData>
            </a:graphic>
          </wp:inline>
        </w:drawing>
      </w:r>
    </w:p>
    <w:p w14:paraId="29B318A2" w14:textId="77777777" w:rsidR="00491C13" w:rsidRPr="00C316F8" w:rsidRDefault="00491C13" w:rsidP="00491C13">
      <w:pPr>
        <w:jc w:val="both"/>
        <w:rPr>
          <w:rFonts w:eastAsia="Calibri" w:cstheme="minorHAnsi"/>
          <w:sz w:val="24"/>
          <w:szCs w:val="24"/>
          <w:lang w:val="es-CO"/>
        </w:rPr>
      </w:pPr>
      <w:r w:rsidRPr="00C316F8">
        <w:rPr>
          <w:rFonts w:eastAsia="Calibri" w:cstheme="minorHAnsi"/>
          <w:sz w:val="24"/>
          <w:szCs w:val="24"/>
          <w:lang w:val="es-CO"/>
        </w:rPr>
        <w:t>Fuente, elaboración propia.</w:t>
      </w:r>
    </w:p>
    <w:p w14:paraId="0947FC9F" w14:textId="77777777" w:rsidR="00491C13" w:rsidRPr="00C316F8" w:rsidRDefault="00491C13" w:rsidP="003B711F">
      <w:pPr>
        <w:jc w:val="both"/>
        <w:rPr>
          <w:rFonts w:cstheme="minorHAnsi"/>
          <w:sz w:val="24"/>
          <w:szCs w:val="24"/>
          <w:lang w:val="es-CO"/>
        </w:rPr>
      </w:pPr>
    </w:p>
    <w:p w14:paraId="200AAAD3" w14:textId="56465A32" w:rsidR="005B5C75" w:rsidRPr="00C316F8" w:rsidRDefault="005B5C75" w:rsidP="003B711F">
      <w:pPr>
        <w:jc w:val="both"/>
        <w:rPr>
          <w:rFonts w:cstheme="minorHAnsi"/>
          <w:sz w:val="24"/>
          <w:szCs w:val="24"/>
          <w:lang w:val="es-CO"/>
        </w:rPr>
      </w:pPr>
      <w:r w:rsidRPr="00C316F8">
        <w:rPr>
          <w:rFonts w:cstheme="minorHAnsi"/>
          <w:sz w:val="24"/>
          <w:szCs w:val="24"/>
          <w:lang w:val="es-CO"/>
        </w:rPr>
        <w:t>La ventana temporal desde el inicio de los síntomas hasta la recuperación exhibe una variabilidad notable, abarcando un intervalo de 10 a 255 días, con un promedio de 26</w:t>
      </w:r>
      <w:r w:rsidR="001D37DB" w:rsidRPr="00C316F8">
        <w:rPr>
          <w:rFonts w:cstheme="minorHAnsi"/>
          <w:sz w:val="24"/>
          <w:szCs w:val="24"/>
          <w:lang w:val="es-CO"/>
        </w:rPr>
        <w:t>,</w:t>
      </w:r>
      <w:r w:rsidRPr="00C316F8">
        <w:rPr>
          <w:rFonts w:cstheme="minorHAnsi"/>
          <w:sz w:val="24"/>
          <w:szCs w:val="24"/>
          <w:lang w:val="es-CO"/>
        </w:rPr>
        <w:t>56 días (desviación estándar 30.87). La mediana se sitúa en 18 días, mientras que el percentil 25 y el percentil 75 se ubican en 14 y 26 días, respectivamente.</w:t>
      </w:r>
    </w:p>
    <w:p w14:paraId="54482CC7" w14:textId="6757BDF4" w:rsidR="005B5C75" w:rsidRPr="00C316F8" w:rsidRDefault="005B5C75" w:rsidP="003B711F">
      <w:pPr>
        <w:jc w:val="both"/>
        <w:rPr>
          <w:rFonts w:cstheme="minorHAnsi"/>
          <w:sz w:val="24"/>
          <w:szCs w:val="24"/>
          <w:lang w:val="es-CO"/>
        </w:rPr>
      </w:pPr>
      <w:r w:rsidRPr="00C316F8">
        <w:rPr>
          <w:rFonts w:cstheme="minorHAnsi"/>
          <w:sz w:val="24"/>
          <w:szCs w:val="24"/>
          <w:lang w:val="es-CO"/>
        </w:rPr>
        <w:t>Por otro lado, el periodo desde el inicio de los síntomas hasta la mortalidad presenta un rango de 0 a 136 días, con un promedio de 14.33 días (desviación estándar 12</w:t>
      </w:r>
      <w:r w:rsidR="002867F1" w:rsidRPr="00C316F8">
        <w:rPr>
          <w:rFonts w:cstheme="minorHAnsi"/>
          <w:sz w:val="24"/>
          <w:szCs w:val="24"/>
          <w:lang w:val="es-CO"/>
        </w:rPr>
        <w:t>,</w:t>
      </w:r>
      <w:r w:rsidRPr="00C316F8">
        <w:rPr>
          <w:rFonts w:cstheme="minorHAnsi"/>
          <w:sz w:val="24"/>
          <w:szCs w:val="24"/>
          <w:lang w:val="es-CO"/>
        </w:rPr>
        <w:t>58). La mediana se establece en 12 días, y los percentiles 25 y 75 se sitúan en 6 y 19 días, respectivamente.</w:t>
      </w:r>
    </w:p>
    <w:p w14:paraId="6FEABD1C" w14:textId="1604DBC2"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El análisis de la curva de Kaplan-Meier, específicamente dirigido a la variable de género, arroja resultados significativos al demostrar que el género femenino exhibe una considerable extensión en el tiempo de sobrevida en comparación con el género masculino (p=0.0001) (Figura </w:t>
      </w:r>
      <w:r w:rsidR="00067756" w:rsidRPr="00C316F8">
        <w:rPr>
          <w:rFonts w:cstheme="minorHAnsi"/>
          <w:sz w:val="24"/>
          <w:szCs w:val="24"/>
          <w:lang w:val="es-CO"/>
        </w:rPr>
        <w:t>9</w:t>
      </w:r>
      <w:r w:rsidRPr="00C316F8">
        <w:rPr>
          <w:rFonts w:cstheme="minorHAnsi"/>
          <w:sz w:val="24"/>
          <w:szCs w:val="24"/>
          <w:lang w:val="es-CO"/>
        </w:rPr>
        <w:t>)</w:t>
      </w:r>
      <w:r w:rsidR="002867F1" w:rsidRPr="00C316F8">
        <w:rPr>
          <w:rFonts w:cstheme="minorHAnsi"/>
          <w:sz w:val="24"/>
          <w:szCs w:val="24"/>
          <w:lang w:val="es-CO"/>
        </w:rPr>
        <w:t>.</w:t>
      </w:r>
    </w:p>
    <w:p w14:paraId="710F66D4" w14:textId="77777777" w:rsidR="002867F1" w:rsidRPr="00C316F8" w:rsidRDefault="002867F1" w:rsidP="003B711F">
      <w:pPr>
        <w:jc w:val="both"/>
        <w:rPr>
          <w:rFonts w:cstheme="minorHAnsi"/>
          <w:sz w:val="24"/>
          <w:szCs w:val="24"/>
          <w:lang w:val="es-CO"/>
        </w:rPr>
      </w:pPr>
    </w:p>
    <w:p w14:paraId="59A343A1" w14:textId="77777777" w:rsidR="002867F1" w:rsidRPr="00C316F8" w:rsidRDefault="002867F1" w:rsidP="003B711F">
      <w:pPr>
        <w:jc w:val="both"/>
        <w:rPr>
          <w:rFonts w:cstheme="minorHAnsi"/>
          <w:sz w:val="24"/>
          <w:szCs w:val="24"/>
          <w:lang w:val="es-CO"/>
        </w:rPr>
      </w:pPr>
    </w:p>
    <w:p w14:paraId="78F7E54C" w14:textId="77777777" w:rsidR="002867F1" w:rsidRPr="00C316F8" w:rsidRDefault="002867F1" w:rsidP="003B711F">
      <w:pPr>
        <w:jc w:val="both"/>
        <w:rPr>
          <w:rFonts w:cstheme="minorHAnsi"/>
          <w:sz w:val="24"/>
          <w:szCs w:val="24"/>
          <w:lang w:val="es-CO"/>
        </w:rPr>
      </w:pPr>
    </w:p>
    <w:p w14:paraId="27C5DFDC" w14:textId="0A13B940" w:rsidR="00067756" w:rsidRPr="00C316F8" w:rsidRDefault="00067756" w:rsidP="00067756">
      <w:pPr>
        <w:pStyle w:val="Descripcin"/>
        <w:rPr>
          <w:rFonts w:asciiTheme="minorHAnsi" w:hAnsiTheme="minorHAnsi" w:cstheme="minorHAnsi"/>
          <w:b/>
          <w:bCs/>
          <w:i w:val="0"/>
          <w:iCs w:val="0"/>
          <w:noProof/>
          <w:color w:val="auto"/>
          <w:sz w:val="24"/>
          <w:szCs w:val="24"/>
        </w:rPr>
      </w:pPr>
      <w:bookmarkStart w:id="87" w:name="_Toc229834714"/>
      <w:r w:rsidRPr="00C316F8">
        <w:rPr>
          <w:rFonts w:asciiTheme="minorHAnsi" w:hAnsiTheme="minorHAnsi" w:cstheme="minorHAnsi"/>
          <w:b/>
          <w:bCs/>
          <w:i w:val="0"/>
          <w:iCs w:val="0"/>
          <w:color w:val="auto"/>
          <w:sz w:val="24"/>
          <w:szCs w:val="24"/>
        </w:rPr>
        <w:t xml:space="preserve">Figura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Figura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9</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Curva de sobrevida de Kaplan-Meier por género</w:t>
      </w:r>
      <w:bookmarkEnd w:id="87"/>
    </w:p>
    <w:p w14:paraId="2B957B1B" w14:textId="77777777" w:rsidR="005B5C75" w:rsidRPr="00C316F8" w:rsidRDefault="005B5C75" w:rsidP="003B711F">
      <w:pPr>
        <w:jc w:val="both"/>
        <w:rPr>
          <w:rFonts w:cstheme="minorHAnsi"/>
          <w:sz w:val="24"/>
          <w:szCs w:val="24"/>
        </w:rPr>
      </w:pPr>
      <w:r w:rsidRPr="00C316F8">
        <w:rPr>
          <w:rFonts w:cstheme="minorHAnsi"/>
          <w:noProof/>
          <w:sz w:val="24"/>
          <w:szCs w:val="24"/>
        </w:rPr>
        <w:drawing>
          <wp:inline distT="0" distB="0" distL="0" distR="0" wp14:anchorId="227A458E" wp14:editId="47CB2E14">
            <wp:extent cx="5612130" cy="4083685"/>
            <wp:effectExtent l="0" t="0" r="7620" b="0"/>
            <wp:docPr id="1932502988" name="Imagen 2"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502988" name="Imagen 2" descr="Gráfico, Gráfico de líneas&#10;&#10;Descripción generada automáticament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2130" cy="4083685"/>
                    </a:xfrm>
                    <a:prstGeom prst="rect">
                      <a:avLst/>
                    </a:prstGeom>
                    <a:noFill/>
                    <a:ln>
                      <a:noFill/>
                    </a:ln>
                  </pic:spPr>
                </pic:pic>
              </a:graphicData>
            </a:graphic>
          </wp:inline>
        </w:drawing>
      </w:r>
    </w:p>
    <w:p w14:paraId="57F378E5" w14:textId="77777777" w:rsidR="00491C13" w:rsidRPr="00C316F8" w:rsidRDefault="00491C13" w:rsidP="00491C13">
      <w:pPr>
        <w:jc w:val="both"/>
        <w:rPr>
          <w:rFonts w:eastAsia="Calibri" w:cstheme="minorHAnsi"/>
          <w:sz w:val="24"/>
          <w:szCs w:val="24"/>
          <w:lang w:val="es-CO"/>
        </w:rPr>
      </w:pPr>
      <w:r w:rsidRPr="00C316F8">
        <w:rPr>
          <w:rFonts w:eastAsia="Calibri" w:cstheme="minorHAnsi"/>
          <w:sz w:val="24"/>
          <w:szCs w:val="24"/>
          <w:lang w:val="es-CO"/>
        </w:rPr>
        <w:t>Fuente, elaboración propia.</w:t>
      </w:r>
    </w:p>
    <w:p w14:paraId="20A08CC8" w14:textId="77777777" w:rsidR="005B5C75" w:rsidRPr="00C316F8" w:rsidRDefault="005B5C75" w:rsidP="003B711F">
      <w:pPr>
        <w:jc w:val="both"/>
        <w:rPr>
          <w:rFonts w:cstheme="minorHAnsi"/>
          <w:sz w:val="24"/>
          <w:szCs w:val="24"/>
          <w:lang w:val="es-CO"/>
        </w:rPr>
      </w:pPr>
    </w:p>
    <w:p w14:paraId="4A45A38E" w14:textId="050C9BF8"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Se llevó a cabo un análisis de supervivencia mediante la construcción de una curva de Kaplan-Meier en función de la edad sin encontrar diferencias en sobrevida (p=0.084), como se presenta de manera detallada en la figura </w:t>
      </w:r>
      <w:r w:rsidR="005E3C8E" w:rsidRPr="00C316F8">
        <w:rPr>
          <w:rFonts w:cstheme="minorHAnsi"/>
          <w:sz w:val="24"/>
          <w:szCs w:val="24"/>
          <w:lang w:val="es-CO"/>
        </w:rPr>
        <w:t>10</w:t>
      </w:r>
      <w:r w:rsidRPr="00C316F8">
        <w:rPr>
          <w:rFonts w:cstheme="minorHAnsi"/>
          <w:sz w:val="24"/>
          <w:szCs w:val="24"/>
          <w:lang w:val="es-CO"/>
        </w:rPr>
        <w:t>.</w:t>
      </w:r>
    </w:p>
    <w:p w14:paraId="087936E0" w14:textId="77777777" w:rsidR="00491C13" w:rsidRPr="00C316F8" w:rsidRDefault="00491C13" w:rsidP="005E3C8E">
      <w:pPr>
        <w:pStyle w:val="Descripcin"/>
        <w:rPr>
          <w:rFonts w:asciiTheme="minorHAnsi" w:hAnsiTheme="minorHAnsi" w:cstheme="minorHAnsi"/>
          <w:b/>
          <w:bCs/>
          <w:i w:val="0"/>
          <w:iCs w:val="0"/>
          <w:color w:val="auto"/>
          <w:sz w:val="24"/>
          <w:szCs w:val="24"/>
        </w:rPr>
      </w:pPr>
    </w:p>
    <w:p w14:paraId="4A2B73B1" w14:textId="77777777" w:rsidR="00491C13" w:rsidRPr="00C316F8" w:rsidRDefault="00491C13" w:rsidP="005E3C8E">
      <w:pPr>
        <w:pStyle w:val="Descripcin"/>
        <w:rPr>
          <w:rFonts w:asciiTheme="minorHAnsi" w:hAnsiTheme="minorHAnsi" w:cstheme="minorHAnsi"/>
          <w:b/>
          <w:bCs/>
          <w:i w:val="0"/>
          <w:iCs w:val="0"/>
          <w:color w:val="auto"/>
          <w:sz w:val="24"/>
          <w:szCs w:val="24"/>
        </w:rPr>
      </w:pPr>
    </w:p>
    <w:p w14:paraId="6C513102" w14:textId="77777777" w:rsidR="00491C13" w:rsidRPr="00C316F8" w:rsidRDefault="00491C13" w:rsidP="005E3C8E">
      <w:pPr>
        <w:pStyle w:val="Descripcin"/>
        <w:rPr>
          <w:rFonts w:asciiTheme="minorHAnsi" w:hAnsiTheme="minorHAnsi" w:cstheme="minorHAnsi"/>
          <w:b/>
          <w:bCs/>
          <w:i w:val="0"/>
          <w:iCs w:val="0"/>
          <w:color w:val="auto"/>
          <w:sz w:val="24"/>
          <w:szCs w:val="24"/>
        </w:rPr>
      </w:pPr>
    </w:p>
    <w:p w14:paraId="724B353C" w14:textId="77777777" w:rsidR="00491C13" w:rsidRPr="00C316F8" w:rsidRDefault="00491C13" w:rsidP="005E3C8E">
      <w:pPr>
        <w:pStyle w:val="Descripcin"/>
        <w:rPr>
          <w:rFonts w:asciiTheme="minorHAnsi" w:hAnsiTheme="minorHAnsi" w:cstheme="minorHAnsi"/>
          <w:b/>
          <w:bCs/>
          <w:i w:val="0"/>
          <w:iCs w:val="0"/>
          <w:color w:val="auto"/>
          <w:sz w:val="24"/>
          <w:szCs w:val="24"/>
        </w:rPr>
      </w:pPr>
    </w:p>
    <w:p w14:paraId="0450673A" w14:textId="77777777" w:rsidR="00491C13" w:rsidRPr="00C316F8" w:rsidRDefault="00491C13" w:rsidP="005E3C8E">
      <w:pPr>
        <w:pStyle w:val="Descripcin"/>
        <w:rPr>
          <w:rFonts w:asciiTheme="minorHAnsi" w:hAnsiTheme="minorHAnsi" w:cstheme="minorHAnsi"/>
          <w:b/>
          <w:bCs/>
          <w:i w:val="0"/>
          <w:iCs w:val="0"/>
          <w:color w:val="auto"/>
          <w:sz w:val="24"/>
          <w:szCs w:val="24"/>
        </w:rPr>
      </w:pPr>
    </w:p>
    <w:p w14:paraId="37EAD406" w14:textId="77777777" w:rsidR="00491C13" w:rsidRPr="00C316F8" w:rsidRDefault="00491C13" w:rsidP="005E3C8E">
      <w:pPr>
        <w:pStyle w:val="Descripcin"/>
        <w:rPr>
          <w:rFonts w:asciiTheme="minorHAnsi" w:hAnsiTheme="minorHAnsi" w:cstheme="minorHAnsi"/>
          <w:b/>
          <w:bCs/>
          <w:i w:val="0"/>
          <w:iCs w:val="0"/>
          <w:color w:val="auto"/>
          <w:sz w:val="24"/>
          <w:szCs w:val="24"/>
        </w:rPr>
      </w:pPr>
    </w:p>
    <w:p w14:paraId="68268B61" w14:textId="77777777" w:rsidR="00491C13" w:rsidRPr="00C316F8" w:rsidRDefault="00491C13" w:rsidP="005E3C8E">
      <w:pPr>
        <w:pStyle w:val="Descripcin"/>
        <w:rPr>
          <w:rFonts w:asciiTheme="minorHAnsi" w:hAnsiTheme="minorHAnsi" w:cstheme="minorHAnsi"/>
          <w:b/>
          <w:bCs/>
          <w:i w:val="0"/>
          <w:iCs w:val="0"/>
          <w:color w:val="auto"/>
          <w:sz w:val="24"/>
          <w:szCs w:val="24"/>
        </w:rPr>
      </w:pPr>
    </w:p>
    <w:p w14:paraId="77402C49" w14:textId="77777777" w:rsidR="00491C13" w:rsidRPr="00C316F8" w:rsidRDefault="00491C13" w:rsidP="005E3C8E">
      <w:pPr>
        <w:pStyle w:val="Descripcin"/>
        <w:rPr>
          <w:rFonts w:asciiTheme="minorHAnsi" w:hAnsiTheme="minorHAnsi" w:cstheme="minorHAnsi"/>
          <w:b/>
          <w:bCs/>
          <w:i w:val="0"/>
          <w:iCs w:val="0"/>
          <w:color w:val="auto"/>
          <w:sz w:val="24"/>
          <w:szCs w:val="24"/>
        </w:rPr>
      </w:pPr>
    </w:p>
    <w:p w14:paraId="53A48632" w14:textId="77777777" w:rsidR="00491C13" w:rsidRPr="00C316F8" w:rsidRDefault="00491C13" w:rsidP="005E3C8E">
      <w:pPr>
        <w:pStyle w:val="Descripcin"/>
        <w:rPr>
          <w:rFonts w:asciiTheme="minorHAnsi" w:hAnsiTheme="minorHAnsi" w:cstheme="minorHAnsi"/>
          <w:b/>
          <w:bCs/>
          <w:i w:val="0"/>
          <w:iCs w:val="0"/>
          <w:color w:val="auto"/>
          <w:sz w:val="24"/>
          <w:szCs w:val="24"/>
        </w:rPr>
      </w:pPr>
    </w:p>
    <w:p w14:paraId="1F041E8E" w14:textId="63D62496" w:rsidR="005B5C75" w:rsidRPr="00C316F8" w:rsidRDefault="005E3C8E" w:rsidP="005E3C8E">
      <w:pPr>
        <w:pStyle w:val="Descripcin"/>
        <w:rPr>
          <w:rFonts w:asciiTheme="minorHAnsi" w:hAnsiTheme="minorHAnsi" w:cstheme="minorHAnsi"/>
          <w:b/>
          <w:bCs/>
          <w:i w:val="0"/>
          <w:iCs w:val="0"/>
          <w:color w:val="auto"/>
          <w:sz w:val="24"/>
          <w:szCs w:val="24"/>
        </w:rPr>
      </w:pPr>
      <w:bookmarkStart w:id="88" w:name="_Toc229834715"/>
      <w:r w:rsidRPr="00C316F8">
        <w:rPr>
          <w:rFonts w:asciiTheme="minorHAnsi" w:hAnsiTheme="minorHAnsi" w:cstheme="minorHAnsi"/>
          <w:b/>
          <w:bCs/>
          <w:i w:val="0"/>
          <w:iCs w:val="0"/>
          <w:color w:val="auto"/>
          <w:sz w:val="24"/>
          <w:szCs w:val="24"/>
        </w:rPr>
        <w:t xml:space="preserve">Figura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Figura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10</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Curva de sobrevida Kaplan-Meier por edad</w:t>
      </w:r>
      <w:bookmarkEnd w:id="88"/>
    </w:p>
    <w:p w14:paraId="494A0621" w14:textId="53A12111" w:rsidR="005B5C75" w:rsidRPr="00C316F8" w:rsidRDefault="005B5C75" w:rsidP="003B711F">
      <w:pPr>
        <w:jc w:val="both"/>
        <w:rPr>
          <w:rFonts w:cstheme="minorHAnsi"/>
          <w:sz w:val="24"/>
          <w:szCs w:val="24"/>
        </w:rPr>
      </w:pPr>
      <w:r w:rsidRPr="00C316F8">
        <w:rPr>
          <w:rFonts w:cstheme="minorHAnsi"/>
          <w:noProof/>
          <w:sz w:val="24"/>
          <w:szCs w:val="24"/>
        </w:rPr>
        <w:drawing>
          <wp:inline distT="0" distB="0" distL="0" distR="0" wp14:anchorId="58B398C5" wp14:editId="7CF89FCB">
            <wp:extent cx="5612130" cy="4083685"/>
            <wp:effectExtent l="0" t="0" r="7620" b="0"/>
            <wp:docPr id="14665669"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5669" name="Imagen 1" descr="Gráfico, Gráfico de líneas&#10;&#10;Descripción generada automáticament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12130" cy="4083685"/>
                    </a:xfrm>
                    <a:prstGeom prst="rect">
                      <a:avLst/>
                    </a:prstGeom>
                    <a:noFill/>
                    <a:ln>
                      <a:noFill/>
                    </a:ln>
                  </pic:spPr>
                </pic:pic>
              </a:graphicData>
            </a:graphic>
          </wp:inline>
        </w:drawing>
      </w:r>
    </w:p>
    <w:p w14:paraId="52874B1A" w14:textId="77777777" w:rsidR="00491C13" w:rsidRPr="00C316F8" w:rsidRDefault="00491C13" w:rsidP="00491C13">
      <w:pPr>
        <w:jc w:val="both"/>
        <w:rPr>
          <w:rFonts w:eastAsia="Calibri" w:cstheme="minorHAnsi"/>
          <w:sz w:val="24"/>
          <w:szCs w:val="24"/>
          <w:lang w:val="es-CO"/>
        </w:rPr>
      </w:pPr>
      <w:r w:rsidRPr="00C316F8">
        <w:rPr>
          <w:rFonts w:eastAsia="Calibri" w:cstheme="minorHAnsi"/>
          <w:sz w:val="24"/>
          <w:szCs w:val="24"/>
          <w:lang w:val="es-CO"/>
        </w:rPr>
        <w:t>Fuente, elaboración propia.</w:t>
      </w:r>
    </w:p>
    <w:p w14:paraId="40B3C74A" w14:textId="4E4FD6C0" w:rsidR="005B5C75" w:rsidRPr="00C316F8" w:rsidRDefault="005B5C75" w:rsidP="003B711F">
      <w:pPr>
        <w:jc w:val="both"/>
        <w:rPr>
          <w:rFonts w:cstheme="minorHAnsi"/>
          <w:sz w:val="24"/>
          <w:szCs w:val="24"/>
          <w:lang w:val="es-CO"/>
        </w:rPr>
      </w:pPr>
      <w:r w:rsidRPr="00C316F8">
        <w:rPr>
          <w:rFonts w:cstheme="minorHAnsi"/>
          <w:sz w:val="24"/>
          <w:szCs w:val="24"/>
          <w:lang w:val="es-CO"/>
        </w:rPr>
        <w:t>En lo que respecta a la afiliación étnica, se destaca que los mestizos y blancos representan el grupo predominante con un porcentaje del 97</w:t>
      </w:r>
      <w:r w:rsidR="002867F1" w:rsidRPr="00C316F8">
        <w:rPr>
          <w:rFonts w:cstheme="minorHAnsi"/>
          <w:sz w:val="24"/>
          <w:szCs w:val="24"/>
          <w:lang w:val="es-CO"/>
        </w:rPr>
        <w:t>,</w:t>
      </w:r>
      <w:r w:rsidRPr="00C316F8">
        <w:rPr>
          <w:rFonts w:cstheme="minorHAnsi"/>
          <w:sz w:val="24"/>
          <w:szCs w:val="24"/>
          <w:lang w:val="es-CO"/>
        </w:rPr>
        <w:t>41%. En contraste, la representación de individuos de ascendencia negra es del 1</w:t>
      </w:r>
      <w:r w:rsidR="002867F1" w:rsidRPr="00C316F8">
        <w:rPr>
          <w:rFonts w:cstheme="minorHAnsi"/>
          <w:sz w:val="24"/>
          <w:szCs w:val="24"/>
          <w:lang w:val="es-CO"/>
        </w:rPr>
        <w:t>,</w:t>
      </w:r>
      <w:r w:rsidRPr="00C316F8">
        <w:rPr>
          <w:rFonts w:cstheme="minorHAnsi"/>
          <w:sz w:val="24"/>
          <w:szCs w:val="24"/>
          <w:lang w:val="es-CO"/>
        </w:rPr>
        <w:t xml:space="preserve">59%, seguido por un 0.9% de indígenas y un 0.1% de raizales, según se detalla en la Tabla </w:t>
      </w:r>
      <w:r w:rsidR="00C84A30" w:rsidRPr="00C316F8">
        <w:rPr>
          <w:rFonts w:cstheme="minorHAnsi"/>
          <w:sz w:val="24"/>
          <w:szCs w:val="24"/>
          <w:lang w:val="es-CO"/>
        </w:rPr>
        <w:t>15</w:t>
      </w:r>
      <w:r w:rsidRPr="00C316F8">
        <w:rPr>
          <w:rFonts w:cstheme="minorHAnsi"/>
          <w:sz w:val="24"/>
          <w:szCs w:val="24"/>
          <w:lang w:val="es-CO"/>
        </w:rPr>
        <w:t>.</w:t>
      </w:r>
    </w:p>
    <w:p w14:paraId="3E83B967" w14:textId="3BD77BB3" w:rsidR="00C84A30" w:rsidRPr="00C316F8" w:rsidRDefault="00C84A30" w:rsidP="00C84A30">
      <w:pPr>
        <w:pStyle w:val="Descripcin"/>
        <w:rPr>
          <w:rFonts w:asciiTheme="minorHAnsi" w:hAnsiTheme="minorHAnsi" w:cstheme="minorHAnsi"/>
          <w:b/>
          <w:bCs/>
          <w:i w:val="0"/>
          <w:iCs w:val="0"/>
          <w:color w:val="auto"/>
          <w:sz w:val="24"/>
          <w:szCs w:val="24"/>
        </w:rPr>
      </w:pPr>
      <w:bookmarkStart w:id="89" w:name="_Toc229834703"/>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15</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Distribución de centenarios por etnia</w:t>
      </w:r>
      <w:bookmarkEnd w:id="89"/>
    </w:p>
    <w:tbl>
      <w:tblPr>
        <w:tblStyle w:val="Tabladelista3-nfasis4"/>
        <w:tblW w:w="4912" w:type="dxa"/>
        <w:tblLook w:val="04A0" w:firstRow="1" w:lastRow="0" w:firstColumn="1" w:lastColumn="0" w:noHBand="0" w:noVBand="1"/>
      </w:tblPr>
      <w:tblGrid>
        <w:gridCol w:w="1980"/>
        <w:gridCol w:w="1423"/>
        <w:gridCol w:w="1509"/>
      </w:tblGrid>
      <w:tr w:rsidR="005B5C75" w:rsidRPr="00C316F8" w14:paraId="4EFE4A34" w14:textId="77777777" w:rsidTr="00C84A30">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980" w:type="dxa"/>
            <w:noWrap/>
            <w:hideMark/>
          </w:tcPr>
          <w:p w14:paraId="027B63A4"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ETHNICITY</w:t>
            </w:r>
          </w:p>
        </w:tc>
        <w:tc>
          <w:tcPr>
            <w:tcW w:w="1423" w:type="dxa"/>
            <w:noWrap/>
            <w:hideMark/>
          </w:tcPr>
          <w:p w14:paraId="52AA2B52" w14:textId="77777777" w:rsidR="005B5C75" w:rsidRPr="00C316F8" w:rsidRDefault="005B5C75" w:rsidP="003B711F">
            <w:pPr>
              <w:jc w:val="both"/>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FREQUENCY</w:t>
            </w:r>
          </w:p>
        </w:tc>
        <w:tc>
          <w:tcPr>
            <w:tcW w:w="1509" w:type="dxa"/>
            <w:noWrap/>
            <w:hideMark/>
          </w:tcPr>
          <w:p w14:paraId="654CD117" w14:textId="77777777" w:rsidR="005B5C75" w:rsidRPr="00C316F8" w:rsidRDefault="005B5C75" w:rsidP="003B711F">
            <w:pPr>
              <w:jc w:val="both"/>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PERCENTAGE</w:t>
            </w:r>
          </w:p>
        </w:tc>
      </w:tr>
      <w:tr w:rsidR="005B5C75" w:rsidRPr="00C316F8" w14:paraId="36C3175B" w14:textId="77777777" w:rsidTr="00C84A3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noWrap/>
            <w:hideMark/>
          </w:tcPr>
          <w:p w14:paraId="0C71877B"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WHITE-MESTIZO</w:t>
            </w:r>
          </w:p>
        </w:tc>
        <w:tc>
          <w:tcPr>
            <w:tcW w:w="1423" w:type="dxa"/>
            <w:noWrap/>
            <w:hideMark/>
          </w:tcPr>
          <w:p w14:paraId="7A67444F"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979</w:t>
            </w:r>
          </w:p>
        </w:tc>
        <w:tc>
          <w:tcPr>
            <w:tcW w:w="1509" w:type="dxa"/>
            <w:noWrap/>
            <w:hideMark/>
          </w:tcPr>
          <w:p w14:paraId="66B4879A"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97.41</w:t>
            </w:r>
          </w:p>
        </w:tc>
      </w:tr>
      <w:tr w:rsidR="005B5C75" w:rsidRPr="00C316F8" w14:paraId="2D946838" w14:textId="77777777" w:rsidTr="00C84A30">
        <w:trPr>
          <w:trHeight w:val="300"/>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563D3EC"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AFRO-DESCENDANT</w:t>
            </w:r>
          </w:p>
        </w:tc>
        <w:tc>
          <w:tcPr>
            <w:tcW w:w="1423" w:type="dxa"/>
            <w:noWrap/>
            <w:hideMark/>
          </w:tcPr>
          <w:p w14:paraId="11C60B15"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16</w:t>
            </w:r>
          </w:p>
        </w:tc>
        <w:tc>
          <w:tcPr>
            <w:tcW w:w="1509" w:type="dxa"/>
            <w:noWrap/>
            <w:hideMark/>
          </w:tcPr>
          <w:p w14:paraId="75A3F254"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1.59</w:t>
            </w:r>
          </w:p>
        </w:tc>
      </w:tr>
      <w:tr w:rsidR="005B5C75" w:rsidRPr="00C316F8" w14:paraId="51E85341" w14:textId="77777777" w:rsidTr="00C84A3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noWrap/>
            <w:hideMark/>
          </w:tcPr>
          <w:p w14:paraId="316EEECE"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INDIGENOUS</w:t>
            </w:r>
          </w:p>
        </w:tc>
        <w:tc>
          <w:tcPr>
            <w:tcW w:w="1423" w:type="dxa"/>
            <w:noWrap/>
            <w:hideMark/>
          </w:tcPr>
          <w:p w14:paraId="07CC331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w:t>
            </w:r>
          </w:p>
        </w:tc>
        <w:tc>
          <w:tcPr>
            <w:tcW w:w="1509" w:type="dxa"/>
            <w:noWrap/>
            <w:hideMark/>
          </w:tcPr>
          <w:p w14:paraId="3FD10CE4"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0.90</w:t>
            </w:r>
          </w:p>
        </w:tc>
      </w:tr>
      <w:tr w:rsidR="005B5C75" w:rsidRPr="00C316F8" w14:paraId="4E597041" w14:textId="77777777" w:rsidTr="00C84A30">
        <w:trPr>
          <w:trHeight w:val="300"/>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8CEC8F1"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RAIZAL</w:t>
            </w:r>
          </w:p>
        </w:tc>
        <w:tc>
          <w:tcPr>
            <w:tcW w:w="1423" w:type="dxa"/>
            <w:noWrap/>
            <w:hideMark/>
          </w:tcPr>
          <w:p w14:paraId="0FFFA7B6"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1509" w:type="dxa"/>
            <w:noWrap/>
            <w:hideMark/>
          </w:tcPr>
          <w:p w14:paraId="5DD1A2A5"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0.10</w:t>
            </w:r>
          </w:p>
        </w:tc>
      </w:tr>
      <w:tr w:rsidR="005B5C75" w:rsidRPr="00C316F8" w14:paraId="4A3E2A28" w14:textId="77777777" w:rsidTr="00C84A3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8343F0F"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TOTAL</w:t>
            </w:r>
          </w:p>
        </w:tc>
        <w:tc>
          <w:tcPr>
            <w:tcW w:w="1423" w:type="dxa"/>
            <w:noWrap/>
            <w:hideMark/>
          </w:tcPr>
          <w:p w14:paraId="67640D4B"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1,005</w:t>
            </w:r>
          </w:p>
        </w:tc>
        <w:tc>
          <w:tcPr>
            <w:tcW w:w="1509" w:type="dxa"/>
            <w:noWrap/>
            <w:hideMark/>
          </w:tcPr>
          <w:p w14:paraId="045EF734"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100.00</w:t>
            </w:r>
          </w:p>
        </w:tc>
      </w:tr>
    </w:tbl>
    <w:p w14:paraId="1CBB8180" w14:textId="77777777" w:rsidR="00491C13" w:rsidRPr="00C316F8" w:rsidRDefault="00491C13" w:rsidP="00491C13">
      <w:pPr>
        <w:jc w:val="both"/>
        <w:rPr>
          <w:rFonts w:eastAsia="Calibri" w:cstheme="minorHAnsi"/>
          <w:sz w:val="24"/>
          <w:szCs w:val="24"/>
          <w:lang w:val="es-CO"/>
        </w:rPr>
      </w:pPr>
      <w:r w:rsidRPr="00C316F8">
        <w:rPr>
          <w:rFonts w:eastAsia="Calibri" w:cstheme="minorHAnsi"/>
          <w:sz w:val="24"/>
          <w:szCs w:val="24"/>
          <w:lang w:val="es-CO"/>
        </w:rPr>
        <w:lastRenderedPageBreak/>
        <w:t>Fuente, elaboración propia.</w:t>
      </w:r>
    </w:p>
    <w:p w14:paraId="4DE41713" w14:textId="77777777" w:rsidR="005B5C75" w:rsidRPr="00C316F8" w:rsidRDefault="005B5C75" w:rsidP="003B711F">
      <w:pPr>
        <w:jc w:val="both"/>
        <w:rPr>
          <w:rFonts w:cstheme="minorHAnsi"/>
          <w:sz w:val="24"/>
          <w:szCs w:val="24"/>
        </w:rPr>
      </w:pPr>
    </w:p>
    <w:p w14:paraId="425605E0" w14:textId="3A6365A6"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La distribución de centenarios por Departamento y la tasa de mortalidad por 100.000 habitantes se observa en la tabla </w:t>
      </w:r>
      <w:r w:rsidR="008A5F85" w:rsidRPr="00C316F8">
        <w:rPr>
          <w:rFonts w:cstheme="minorHAnsi"/>
          <w:sz w:val="24"/>
          <w:szCs w:val="24"/>
          <w:lang w:val="es-CO"/>
        </w:rPr>
        <w:t>16</w:t>
      </w:r>
      <w:r w:rsidRPr="00C316F8">
        <w:rPr>
          <w:rFonts w:cstheme="minorHAnsi"/>
          <w:sz w:val="24"/>
          <w:szCs w:val="24"/>
          <w:lang w:val="es-CO"/>
        </w:rPr>
        <w:t xml:space="preserve">. </w:t>
      </w:r>
    </w:p>
    <w:p w14:paraId="33443535" w14:textId="7F43B701" w:rsidR="008A5F85" w:rsidRPr="00C316F8" w:rsidRDefault="008A5F85" w:rsidP="008A5F85">
      <w:pPr>
        <w:pStyle w:val="Descripcin"/>
        <w:jc w:val="both"/>
        <w:rPr>
          <w:rFonts w:asciiTheme="minorHAnsi" w:hAnsiTheme="minorHAnsi" w:cstheme="minorHAnsi"/>
          <w:b/>
          <w:bCs/>
          <w:i w:val="0"/>
          <w:iCs w:val="0"/>
          <w:color w:val="auto"/>
          <w:sz w:val="24"/>
          <w:szCs w:val="24"/>
        </w:rPr>
      </w:pPr>
      <w:bookmarkStart w:id="90" w:name="_Toc229834704"/>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16</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Distribución de centenarios por Departamento y tasa de mortalidad por 100.000 habitantes.</w:t>
      </w:r>
      <w:bookmarkEnd w:id="90"/>
    </w:p>
    <w:tbl>
      <w:tblPr>
        <w:tblStyle w:val="Tabladelista3-nfasis4"/>
        <w:tblW w:w="7232" w:type="dxa"/>
        <w:tblLook w:val="04A0" w:firstRow="1" w:lastRow="0" w:firstColumn="1" w:lastColumn="0" w:noHBand="0" w:noVBand="1"/>
      </w:tblPr>
      <w:tblGrid>
        <w:gridCol w:w="1940"/>
        <w:gridCol w:w="1200"/>
        <w:gridCol w:w="779"/>
        <w:gridCol w:w="833"/>
        <w:gridCol w:w="2480"/>
      </w:tblGrid>
      <w:tr w:rsidR="005B5C75" w:rsidRPr="00C316F8" w14:paraId="5CCF0311" w14:textId="77777777" w:rsidTr="008A5F85">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940" w:type="dxa"/>
            <w:noWrap/>
            <w:hideMark/>
          </w:tcPr>
          <w:p w14:paraId="2F6B2E89"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DEPARMENT</w:t>
            </w:r>
          </w:p>
        </w:tc>
        <w:tc>
          <w:tcPr>
            <w:tcW w:w="1200" w:type="dxa"/>
            <w:noWrap/>
            <w:hideMark/>
          </w:tcPr>
          <w:p w14:paraId="3DE50B05" w14:textId="77777777" w:rsidR="005B5C75" w:rsidRPr="00C316F8" w:rsidRDefault="005B5C75" w:rsidP="003B711F">
            <w:pPr>
              <w:jc w:val="both"/>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ALIVE</w:t>
            </w:r>
          </w:p>
        </w:tc>
        <w:tc>
          <w:tcPr>
            <w:tcW w:w="779" w:type="dxa"/>
            <w:noWrap/>
            <w:hideMark/>
          </w:tcPr>
          <w:p w14:paraId="16E4A313" w14:textId="77777777" w:rsidR="005B5C75" w:rsidRPr="00C316F8" w:rsidRDefault="005B5C75" w:rsidP="003B711F">
            <w:pPr>
              <w:jc w:val="both"/>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DEAD</w:t>
            </w:r>
          </w:p>
        </w:tc>
        <w:tc>
          <w:tcPr>
            <w:tcW w:w="833" w:type="dxa"/>
            <w:noWrap/>
            <w:hideMark/>
          </w:tcPr>
          <w:p w14:paraId="5C50C4BA" w14:textId="77777777" w:rsidR="005B5C75" w:rsidRPr="00C316F8" w:rsidRDefault="005B5C75" w:rsidP="003B711F">
            <w:pPr>
              <w:jc w:val="both"/>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TOTAL</w:t>
            </w:r>
          </w:p>
        </w:tc>
        <w:tc>
          <w:tcPr>
            <w:tcW w:w="2480" w:type="dxa"/>
            <w:noWrap/>
            <w:hideMark/>
          </w:tcPr>
          <w:p w14:paraId="2197EF96" w14:textId="77777777" w:rsidR="005B5C75" w:rsidRPr="00C316F8" w:rsidRDefault="005B5C75" w:rsidP="003B711F">
            <w:pPr>
              <w:jc w:val="both"/>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MORTALITY RATE:100.000</w:t>
            </w:r>
          </w:p>
        </w:tc>
      </w:tr>
      <w:tr w:rsidR="005B5C75" w:rsidRPr="00C316F8" w14:paraId="03F0A4CB"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0CB57826"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ANTIOQUIA</w:t>
            </w:r>
          </w:p>
        </w:tc>
        <w:tc>
          <w:tcPr>
            <w:tcW w:w="1200" w:type="dxa"/>
            <w:noWrap/>
            <w:hideMark/>
          </w:tcPr>
          <w:p w14:paraId="28CEFC88"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86</w:t>
            </w:r>
          </w:p>
        </w:tc>
        <w:tc>
          <w:tcPr>
            <w:tcW w:w="779" w:type="dxa"/>
            <w:noWrap/>
            <w:hideMark/>
          </w:tcPr>
          <w:p w14:paraId="27BAC620"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58</w:t>
            </w:r>
          </w:p>
        </w:tc>
        <w:tc>
          <w:tcPr>
            <w:tcW w:w="833" w:type="dxa"/>
            <w:noWrap/>
            <w:hideMark/>
          </w:tcPr>
          <w:p w14:paraId="434F6F80"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144</w:t>
            </w:r>
          </w:p>
        </w:tc>
        <w:tc>
          <w:tcPr>
            <w:tcW w:w="2480" w:type="dxa"/>
            <w:noWrap/>
            <w:hideMark/>
          </w:tcPr>
          <w:p w14:paraId="59754BFA"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0,86</w:t>
            </w:r>
          </w:p>
        </w:tc>
      </w:tr>
      <w:tr w:rsidR="005B5C75" w:rsidRPr="00C316F8" w14:paraId="433FDF16"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41EEB399"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ARAUCA</w:t>
            </w:r>
          </w:p>
        </w:tc>
        <w:tc>
          <w:tcPr>
            <w:tcW w:w="1200" w:type="dxa"/>
            <w:noWrap/>
            <w:hideMark/>
          </w:tcPr>
          <w:p w14:paraId="7D6CC2BB"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779" w:type="dxa"/>
            <w:noWrap/>
            <w:hideMark/>
          </w:tcPr>
          <w:p w14:paraId="50776B15"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833" w:type="dxa"/>
            <w:noWrap/>
            <w:hideMark/>
          </w:tcPr>
          <w:p w14:paraId="1053D4E1"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2480" w:type="dxa"/>
            <w:noWrap/>
            <w:hideMark/>
          </w:tcPr>
          <w:p w14:paraId="7B1A83D1"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r>
      <w:tr w:rsidR="005B5C75" w:rsidRPr="00C316F8" w14:paraId="70300A6B"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045E3A12"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ATLANTICO</w:t>
            </w:r>
          </w:p>
        </w:tc>
        <w:tc>
          <w:tcPr>
            <w:tcW w:w="1200" w:type="dxa"/>
            <w:noWrap/>
            <w:hideMark/>
          </w:tcPr>
          <w:p w14:paraId="2DE6674F"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24</w:t>
            </w:r>
          </w:p>
        </w:tc>
        <w:tc>
          <w:tcPr>
            <w:tcW w:w="779" w:type="dxa"/>
            <w:noWrap/>
            <w:hideMark/>
          </w:tcPr>
          <w:p w14:paraId="7B15FFF6"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12</w:t>
            </w:r>
          </w:p>
        </w:tc>
        <w:tc>
          <w:tcPr>
            <w:tcW w:w="833" w:type="dxa"/>
            <w:noWrap/>
            <w:hideMark/>
          </w:tcPr>
          <w:p w14:paraId="16097E66"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36</w:t>
            </w:r>
          </w:p>
        </w:tc>
        <w:tc>
          <w:tcPr>
            <w:tcW w:w="2480" w:type="dxa"/>
            <w:noWrap/>
            <w:hideMark/>
          </w:tcPr>
          <w:p w14:paraId="0542D69D"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0,44</w:t>
            </w:r>
          </w:p>
        </w:tc>
      </w:tr>
      <w:tr w:rsidR="005B5C75" w:rsidRPr="00C316F8" w14:paraId="0CC84987"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7E0C8C59"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BARRANQUILLA</w:t>
            </w:r>
          </w:p>
        </w:tc>
        <w:tc>
          <w:tcPr>
            <w:tcW w:w="1200" w:type="dxa"/>
            <w:noWrap/>
            <w:hideMark/>
          </w:tcPr>
          <w:p w14:paraId="42713EAC"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47</w:t>
            </w:r>
          </w:p>
        </w:tc>
        <w:tc>
          <w:tcPr>
            <w:tcW w:w="779" w:type="dxa"/>
            <w:noWrap/>
            <w:hideMark/>
          </w:tcPr>
          <w:p w14:paraId="0D7E2E92"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19</w:t>
            </w:r>
          </w:p>
        </w:tc>
        <w:tc>
          <w:tcPr>
            <w:tcW w:w="833" w:type="dxa"/>
            <w:noWrap/>
            <w:hideMark/>
          </w:tcPr>
          <w:p w14:paraId="3CCD4199"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66</w:t>
            </w:r>
          </w:p>
        </w:tc>
        <w:tc>
          <w:tcPr>
            <w:tcW w:w="2480" w:type="dxa"/>
            <w:noWrap/>
            <w:hideMark/>
          </w:tcPr>
          <w:p w14:paraId="295A6B04"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0,73</w:t>
            </w:r>
          </w:p>
        </w:tc>
      </w:tr>
      <w:tr w:rsidR="005B5C75" w:rsidRPr="00C316F8" w14:paraId="72C0EF3D"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7AB9880C"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BOGOTA</w:t>
            </w:r>
          </w:p>
        </w:tc>
        <w:tc>
          <w:tcPr>
            <w:tcW w:w="1200" w:type="dxa"/>
            <w:noWrap/>
            <w:hideMark/>
          </w:tcPr>
          <w:p w14:paraId="3AA5238E"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127</w:t>
            </w:r>
          </w:p>
        </w:tc>
        <w:tc>
          <w:tcPr>
            <w:tcW w:w="779" w:type="dxa"/>
            <w:noWrap/>
            <w:hideMark/>
          </w:tcPr>
          <w:p w14:paraId="6C51C757"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65</w:t>
            </w:r>
          </w:p>
        </w:tc>
        <w:tc>
          <w:tcPr>
            <w:tcW w:w="833" w:type="dxa"/>
            <w:noWrap/>
            <w:hideMark/>
          </w:tcPr>
          <w:p w14:paraId="18593CC2"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192</w:t>
            </w:r>
          </w:p>
        </w:tc>
        <w:tc>
          <w:tcPr>
            <w:tcW w:w="2480" w:type="dxa"/>
            <w:noWrap/>
            <w:hideMark/>
          </w:tcPr>
          <w:p w14:paraId="327CA48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0,83</w:t>
            </w:r>
          </w:p>
        </w:tc>
      </w:tr>
      <w:tr w:rsidR="005B5C75" w:rsidRPr="00C316F8" w14:paraId="3E4F1EEC"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6EA6DE55"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BOLIVAR</w:t>
            </w:r>
          </w:p>
        </w:tc>
        <w:tc>
          <w:tcPr>
            <w:tcW w:w="1200" w:type="dxa"/>
            <w:noWrap/>
            <w:hideMark/>
          </w:tcPr>
          <w:p w14:paraId="12AC67BB"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779" w:type="dxa"/>
            <w:noWrap/>
            <w:hideMark/>
          </w:tcPr>
          <w:p w14:paraId="7B14265B"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833" w:type="dxa"/>
            <w:noWrap/>
            <w:hideMark/>
          </w:tcPr>
          <w:p w14:paraId="4F105E74"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22</w:t>
            </w:r>
          </w:p>
        </w:tc>
        <w:tc>
          <w:tcPr>
            <w:tcW w:w="2480" w:type="dxa"/>
            <w:noWrap/>
            <w:hideMark/>
          </w:tcPr>
          <w:p w14:paraId="42046979"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0,5</w:t>
            </w:r>
          </w:p>
        </w:tc>
      </w:tr>
      <w:tr w:rsidR="005B5C75" w:rsidRPr="00C316F8" w14:paraId="2128384F"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7C622703"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BOYACA</w:t>
            </w:r>
          </w:p>
        </w:tc>
        <w:tc>
          <w:tcPr>
            <w:tcW w:w="1200" w:type="dxa"/>
            <w:noWrap/>
            <w:hideMark/>
          </w:tcPr>
          <w:p w14:paraId="5C7F91C7"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18</w:t>
            </w:r>
          </w:p>
        </w:tc>
        <w:tc>
          <w:tcPr>
            <w:tcW w:w="779" w:type="dxa"/>
            <w:noWrap/>
            <w:hideMark/>
          </w:tcPr>
          <w:p w14:paraId="25086A84"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w:t>
            </w:r>
          </w:p>
        </w:tc>
        <w:tc>
          <w:tcPr>
            <w:tcW w:w="833" w:type="dxa"/>
            <w:noWrap/>
            <w:hideMark/>
          </w:tcPr>
          <w:p w14:paraId="4EEB2105"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27</w:t>
            </w:r>
          </w:p>
        </w:tc>
        <w:tc>
          <w:tcPr>
            <w:tcW w:w="2480" w:type="dxa"/>
            <w:noWrap/>
            <w:hideMark/>
          </w:tcPr>
          <w:p w14:paraId="2D5E9934"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0,71</w:t>
            </w:r>
          </w:p>
        </w:tc>
      </w:tr>
      <w:tr w:rsidR="005B5C75" w:rsidRPr="00C316F8" w14:paraId="77455892"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1F04EF11"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CALDAS</w:t>
            </w:r>
          </w:p>
        </w:tc>
        <w:tc>
          <w:tcPr>
            <w:tcW w:w="1200" w:type="dxa"/>
            <w:noWrap/>
            <w:hideMark/>
          </w:tcPr>
          <w:p w14:paraId="1B5413C7"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12</w:t>
            </w:r>
          </w:p>
        </w:tc>
        <w:tc>
          <w:tcPr>
            <w:tcW w:w="779" w:type="dxa"/>
            <w:noWrap/>
            <w:hideMark/>
          </w:tcPr>
          <w:p w14:paraId="03878067"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833" w:type="dxa"/>
            <w:noWrap/>
            <w:hideMark/>
          </w:tcPr>
          <w:p w14:paraId="0055B15C"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18</w:t>
            </w:r>
          </w:p>
        </w:tc>
        <w:tc>
          <w:tcPr>
            <w:tcW w:w="2480" w:type="dxa"/>
            <w:noWrap/>
            <w:hideMark/>
          </w:tcPr>
          <w:p w14:paraId="7281C3E7"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0,58</w:t>
            </w:r>
          </w:p>
        </w:tc>
      </w:tr>
      <w:tr w:rsidR="005B5C75" w:rsidRPr="00C316F8" w14:paraId="7350B2D4"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3A63D798"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CAQUETA</w:t>
            </w:r>
          </w:p>
        </w:tc>
        <w:tc>
          <w:tcPr>
            <w:tcW w:w="1200" w:type="dxa"/>
            <w:noWrap/>
            <w:hideMark/>
          </w:tcPr>
          <w:p w14:paraId="2352B41E"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779" w:type="dxa"/>
            <w:noWrap/>
            <w:hideMark/>
          </w:tcPr>
          <w:p w14:paraId="36D4AAD5"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w:t>
            </w:r>
          </w:p>
        </w:tc>
        <w:tc>
          <w:tcPr>
            <w:tcW w:w="833" w:type="dxa"/>
            <w:noWrap/>
            <w:hideMark/>
          </w:tcPr>
          <w:p w14:paraId="17AA6F3E"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2480" w:type="dxa"/>
            <w:noWrap/>
            <w:hideMark/>
          </w:tcPr>
          <w:p w14:paraId="007A6A67"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0,48</w:t>
            </w:r>
          </w:p>
        </w:tc>
      </w:tr>
      <w:tr w:rsidR="005B5C75" w:rsidRPr="00C316F8" w14:paraId="08C7AE5F"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79E95ECE"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CARTAGENA</w:t>
            </w:r>
          </w:p>
        </w:tc>
        <w:tc>
          <w:tcPr>
            <w:tcW w:w="1200" w:type="dxa"/>
            <w:noWrap/>
            <w:hideMark/>
          </w:tcPr>
          <w:p w14:paraId="08E710E1"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20</w:t>
            </w:r>
          </w:p>
        </w:tc>
        <w:tc>
          <w:tcPr>
            <w:tcW w:w="779" w:type="dxa"/>
            <w:noWrap/>
            <w:hideMark/>
          </w:tcPr>
          <w:p w14:paraId="237F4DF3"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w:t>
            </w:r>
          </w:p>
        </w:tc>
        <w:tc>
          <w:tcPr>
            <w:tcW w:w="833" w:type="dxa"/>
            <w:noWrap/>
            <w:hideMark/>
          </w:tcPr>
          <w:p w14:paraId="65DE1E52"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30</w:t>
            </w:r>
          </w:p>
        </w:tc>
        <w:tc>
          <w:tcPr>
            <w:tcW w:w="2480" w:type="dxa"/>
            <w:noWrap/>
            <w:hideMark/>
          </w:tcPr>
          <w:p w14:paraId="153E0EBA"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0,48</w:t>
            </w:r>
          </w:p>
        </w:tc>
      </w:tr>
      <w:tr w:rsidR="005B5C75" w:rsidRPr="00C316F8" w14:paraId="46A99562"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6F7919D9"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CASANARE</w:t>
            </w:r>
          </w:p>
        </w:tc>
        <w:tc>
          <w:tcPr>
            <w:tcW w:w="1200" w:type="dxa"/>
            <w:noWrap/>
            <w:hideMark/>
          </w:tcPr>
          <w:p w14:paraId="13E1818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w:t>
            </w:r>
          </w:p>
        </w:tc>
        <w:tc>
          <w:tcPr>
            <w:tcW w:w="779" w:type="dxa"/>
            <w:noWrap/>
            <w:hideMark/>
          </w:tcPr>
          <w:p w14:paraId="4D33273B"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c>
          <w:tcPr>
            <w:tcW w:w="833" w:type="dxa"/>
            <w:noWrap/>
            <w:hideMark/>
          </w:tcPr>
          <w:p w14:paraId="3E74E0B2"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w:t>
            </w:r>
          </w:p>
        </w:tc>
        <w:tc>
          <w:tcPr>
            <w:tcW w:w="2480" w:type="dxa"/>
            <w:noWrap/>
            <w:hideMark/>
          </w:tcPr>
          <w:p w14:paraId="24DCD37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r>
      <w:tr w:rsidR="005B5C75" w:rsidRPr="00C316F8" w14:paraId="01BBF2EE"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72D4B4EE"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CAUCA</w:t>
            </w:r>
          </w:p>
        </w:tc>
        <w:tc>
          <w:tcPr>
            <w:tcW w:w="1200" w:type="dxa"/>
            <w:noWrap/>
            <w:hideMark/>
          </w:tcPr>
          <w:p w14:paraId="652DF09D"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779" w:type="dxa"/>
            <w:noWrap/>
            <w:hideMark/>
          </w:tcPr>
          <w:p w14:paraId="2E74B571"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7</w:t>
            </w:r>
          </w:p>
        </w:tc>
        <w:tc>
          <w:tcPr>
            <w:tcW w:w="833" w:type="dxa"/>
            <w:noWrap/>
            <w:hideMark/>
          </w:tcPr>
          <w:p w14:paraId="4E6173EF"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13</w:t>
            </w:r>
          </w:p>
        </w:tc>
        <w:tc>
          <w:tcPr>
            <w:tcW w:w="2480" w:type="dxa"/>
            <w:noWrap/>
            <w:hideMark/>
          </w:tcPr>
          <w:p w14:paraId="0BA98765"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0,46</w:t>
            </w:r>
          </w:p>
        </w:tc>
      </w:tr>
      <w:tr w:rsidR="005B5C75" w:rsidRPr="00C316F8" w14:paraId="2430084D"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226341A5"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CESAR</w:t>
            </w:r>
          </w:p>
        </w:tc>
        <w:tc>
          <w:tcPr>
            <w:tcW w:w="1200" w:type="dxa"/>
            <w:noWrap/>
            <w:hideMark/>
          </w:tcPr>
          <w:p w14:paraId="54DA1EB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w:t>
            </w:r>
          </w:p>
        </w:tc>
        <w:tc>
          <w:tcPr>
            <w:tcW w:w="779" w:type="dxa"/>
            <w:noWrap/>
            <w:hideMark/>
          </w:tcPr>
          <w:p w14:paraId="4ED9907F"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833" w:type="dxa"/>
            <w:noWrap/>
            <w:hideMark/>
          </w:tcPr>
          <w:p w14:paraId="0B894A8E"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2480" w:type="dxa"/>
            <w:noWrap/>
            <w:hideMark/>
          </w:tcPr>
          <w:p w14:paraId="2CFDEB13"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0,45</w:t>
            </w:r>
          </w:p>
        </w:tc>
      </w:tr>
      <w:tr w:rsidR="005B5C75" w:rsidRPr="00C316F8" w14:paraId="4E6E9BD7"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61BB47FD"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CHOCO</w:t>
            </w:r>
          </w:p>
        </w:tc>
        <w:tc>
          <w:tcPr>
            <w:tcW w:w="1200" w:type="dxa"/>
            <w:noWrap/>
            <w:hideMark/>
          </w:tcPr>
          <w:p w14:paraId="68C5A2D4"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779" w:type="dxa"/>
            <w:noWrap/>
            <w:hideMark/>
          </w:tcPr>
          <w:p w14:paraId="01048AC4"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833" w:type="dxa"/>
            <w:noWrap/>
            <w:hideMark/>
          </w:tcPr>
          <w:p w14:paraId="264C3C53"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7</w:t>
            </w:r>
          </w:p>
        </w:tc>
        <w:tc>
          <w:tcPr>
            <w:tcW w:w="2480" w:type="dxa"/>
            <w:noWrap/>
            <w:hideMark/>
          </w:tcPr>
          <w:p w14:paraId="55B2FBB1"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0,17</w:t>
            </w:r>
          </w:p>
        </w:tc>
      </w:tr>
      <w:tr w:rsidR="005B5C75" w:rsidRPr="00C316F8" w14:paraId="59109E65"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045D63DF"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CORDOBA</w:t>
            </w:r>
          </w:p>
        </w:tc>
        <w:tc>
          <w:tcPr>
            <w:tcW w:w="1200" w:type="dxa"/>
            <w:noWrap/>
            <w:hideMark/>
          </w:tcPr>
          <w:p w14:paraId="0DCD108C"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14</w:t>
            </w:r>
          </w:p>
        </w:tc>
        <w:tc>
          <w:tcPr>
            <w:tcW w:w="779" w:type="dxa"/>
            <w:noWrap/>
            <w:hideMark/>
          </w:tcPr>
          <w:p w14:paraId="0F00769F"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833" w:type="dxa"/>
            <w:noWrap/>
            <w:hideMark/>
          </w:tcPr>
          <w:p w14:paraId="1FD3683D"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25</w:t>
            </w:r>
          </w:p>
        </w:tc>
        <w:tc>
          <w:tcPr>
            <w:tcW w:w="2480" w:type="dxa"/>
            <w:noWrap/>
            <w:hideMark/>
          </w:tcPr>
          <w:p w14:paraId="0C52A1AA"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0,59</w:t>
            </w:r>
          </w:p>
        </w:tc>
      </w:tr>
      <w:tr w:rsidR="005B5C75" w:rsidRPr="00C316F8" w14:paraId="366E1FFB"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6D9965E6"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CUNDINAMARCA</w:t>
            </w:r>
          </w:p>
        </w:tc>
        <w:tc>
          <w:tcPr>
            <w:tcW w:w="1200" w:type="dxa"/>
            <w:noWrap/>
            <w:hideMark/>
          </w:tcPr>
          <w:p w14:paraId="30E72742"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34</w:t>
            </w:r>
          </w:p>
        </w:tc>
        <w:tc>
          <w:tcPr>
            <w:tcW w:w="779" w:type="dxa"/>
            <w:noWrap/>
            <w:hideMark/>
          </w:tcPr>
          <w:p w14:paraId="2ED9EED0"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22</w:t>
            </w:r>
          </w:p>
        </w:tc>
        <w:tc>
          <w:tcPr>
            <w:tcW w:w="833" w:type="dxa"/>
            <w:noWrap/>
            <w:hideMark/>
          </w:tcPr>
          <w:p w14:paraId="79AB6140"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56</w:t>
            </w:r>
          </w:p>
        </w:tc>
        <w:tc>
          <w:tcPr>
            <w:tcW w:w="2480" w:type="dxa"/>
            <w:noWrap/>
            <w:hideMark/>
          </w:tcPr>
          <w:p w14:paraId="3EBEBD3A"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0,68</w:t>
            </w:r>
          </w:p>
        </w:tc>
      </w:tr>
      <w:tr w:rsidR="005B5C75" w:rsidRPr="00C316F8" w14:paraId="4740C0EA"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39CDA5B8"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GUAJIRA</w:t>
            </w:r>
          </w:p>
        </w:tc>
        <w:tc>
          <w:tcPr>
            <w:tcW w:w="1200" w:type="dxa"/>
            <w:noWrap/>
            <w:hideMark/>
          </w:tcPr>
          <w:p w14:paraId="215B4CE7"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w:t>
            </w:r>
          </w:p>
        </w:tc>
        <w:tc>
          <w:tcPr>
            <w:tcW w:w="779" w:type="dxa"/>
            <w:noWrap/>
            <w:hideMark/>
          </w:tcPr>
          <w:p w14:paraId="46A1F137"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833" w:type="dxa"/>
            <w:noWrap/>
            <w:hideMark/>
          </w:tcPr>
          <w:p w14:paraId="4DAFA6C4"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16</w:t>
            </w:r>
          </w:p>
        </w:tc>
        <w:tc>
          <w:tcPr>
            <w:tcW w:w="2480" w:type="dxa"/>
            <w:noWrap/>
            <w:hideMark/>
          </w:tcPr>
          <w:p w14:paraId="669D9A9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0,61</w:t>
            </w:r>
          </w:p>
        </w:tc>
      </w:tr>
      <w:tr w:rsidR="005B5C75" w:rsidRPr="00C316F8" w14:paraId="3106D32F"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1A35A8FA"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HUILA</w:t>
            </w:r>
          </w:p>
        </w:tc>
        <w:tc>
          <w:tcPr>
            <w:tcW w:w="1200" w:type="dxa"/>
            <w:noWrap/>
            <w:hideMark/>
          </w:tcPr>
          <w:p w14:paraId="17A03BBD"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8</w:t>
            </w:r>
          </w:p>
        </w:tc>
        <w:tc>
          <w:tcPr>
            <w:tcW w:w="779" w:type="dxa"/>
            <w:noWrap/>
            <w:hideMark/>
          </w:tcPr>
          <w:p w14:paraId="79208EFC"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833" w:type="dxa"/>
            <w:noWrap/>
            <w:hideMark/>
          </w:tcPr>
          <w:p w14:paraId="711A44C4"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19</w:t>
            </w:r>
          </w:p>
        </w:tc>
        <w:tc>
          <w:tcPr>
            <w:tcW w:w="2480" w:type="dxa"/>
            <w:noWrap/>
            <w:hideMark/>
          </w:tcPr>
          <w:p w14:paraId="17CD10B6"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0,96</w:t>
            </w:r>
          </w:p>
        </w:tc>
      </w:tr>
      <w:tr w:rsidR="005B5C75" w:rsidRPr="00C316F8" w14:paraId="62EC9C23"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6DE08D56"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MAGDALENA</w:t>
            </w:r>
          </w:p>
        </w:tc>
        <w:tc>
          <w:tcPr>
            <w:tcW w:w="1200" w:type="dxa"/>
            <w:noWrap/>
            <w:hideMark/>
          </w:tcPr>
          <w:p w14:paraId="5A9AFF3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779" w:type="dxa"/>
            <w:noWrap/>
            <w:hideMark/>
          </w:tcPr>
          <w:p w14:paraId="073E059A"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833" w:type="dxa"/>
            <w:noWrap/>
            <w:hideMark/>
          </w:tcPr>
          <w:p w14:paraId="71699AE4"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w:t>
            </w:r>
          </w:p>
        </w:tc>
        <w:tc>
          <w:tcPr>
            <w:tcW w:w="2480" w:type="dxa"/>
            <w:noWrap/>
            <w:hideMark/>
          </w:tcPr>
          <w:p w14:paraId="7B6814A3"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0,28</w:t>
            </w:r>
          </w:p>
        </w:tc>
      </w:tr>
      <w:tr w:rsidR="005B5C75" w:rsidRPr="00C316F8" w14:paraId="530F62BC"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2A2ECC59"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META</w:t>
            </w:r>
          </w:p>
        </w:tc>
        <w:tc>
          <w:tcPr>
            <w:tcW w:w="1200" w:type="dxa"/>
            <w:noWrap/>
            <w:hideMark/>
          </w:tcPr>
          <w:p w14:paraId="60623FCE"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779" w:type="dxa"/>
            <w:noWrap/>
            <w:hideMark/>
          </w:tcPr>
          <w:p w14:paraId="3436BAFF"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w:t>
            </w:r>
          </w:p>
        </w:tc>
        <w:tc>
          <w:tcPr>
            <w:tcW w:w="833" w:type="dxa"/>
            <w:noWrap/>
            <w:hideMark/>
          </w:tcPr>
          <w:p w14:paraId="32B09776"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14</w:t>
            </w:r>
          </w:p>
        </w:tc>
        <w:tc>
          <w:tcPr>
            <w:tcW w:w="2480" w:type="dxa"/>
            <w:noWrap/>
            <w:hideMark/>
          </w:tcPr>
          <w:p w14:paraId="3BAF6701"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0,27</w:t>
            </w:r>
          </w:p>
        </w:tc>
      </w:tr>
      <w:tr w:rsidR="005B5C75" w:rsidRPr="00C316F8" w14:paraId="1D49EEDF"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104BAA2E"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NARIÑO</w:t>
            </w:r>
          </w:p>
        </w:tc>
        <w:tc>
          <w:tcPr>
            <w:tcW w:w="1200" w:type="dxa"/>
            <w:noWrap/>
            <w:hideMark/>
          </w:tcPr>
          <w:p w14:paraId="41CC5F0F"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17</w:t>
            </w:r>
          </w:p>
        </w:tc>
        <w:tc>
          <w:tcPr>
            <w:tcW w:w="779" w:type="dxa"/>
            <w:noWrap/>
            <w:hideMark/>
          </w:tcPr>
          <w:p w14:paraId="58678CB4"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833" w:type="dxa"/>
            <w:noWrap/>
            <w:hideMark/>
          </w:tcPr>
          <w:p w14:paraId="178DAF75"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28</w:t>
            </w:r>
          </w:p>
        </w:tc>
        <w:tc>
          <w:tcPr>
            <w:tcW w:w="2480" w:type="dxa"/>
            <w:noWrap/>
            <w:hideMark/>
          </w:tcPr>
          <w:p w14:paraId="3190DBB8"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0,66</w:t>
            </w:r>
          </w:p>
        </w:tc>
      </w:tr>
      <w:tr w:rsidR="005B5C75" w:rsidRPr="00C316F8" w14:paraId="11DFDBD1"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385DB05D"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NORTE SANTANDER</w:t>
            </w:r>
          </w:p>
        </w:tc>
        <w:tc>
          <w:tcPr>
            <w:tcW w:w="1200" w:type="dxa"/>
            <w:noWrap/>
            <w:hideMark/>
          </w:tcPr>
          <w:p w14:paraId="7D43A0F8"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13</w:t>
            </w:r>
          </w:p>
        </w:tc>
        <w:tc>
          <w:tcPr>
            <w:tcW w:w="779" w:type="dxa"/>
            <w:noWrap/>
            <w:hideMark/>
          </w:tcPr>
          <w:p w14:paraId="26834B59"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833" w:type="dxa"/>
            <w:noWrap/>
            <w:hideMark/>
          </w:tcPr>
          <w:p w14:paraId="15EE558C"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19</w:t>
            </w:r>
          </w:p>
        </w:tc>
        <w:tc>
          <w:tcPr>
            <w:tcW w:w="2480" w:type="dxa"/>
            <w:noWrap/>
            <w:hideMark/>
          </w:tcPr>
          <w:p w14:paraId="7354A8E2"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0,36</w:t>
            </w:r>
          </w:p>
        </w:tc>
      </w:tr>
      <w:tr w:rsidR="005B5C75" w:rsidRPr="00C316F8" w14:paraId="1D631339"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5400A230"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PUTUMAYO</w:t>
            </w:r>
          </w:p>
        </w:tc>
        <w:tc>
          <w:tcPr>
            <w:tcW w:w="1200" w:type="dxa"/>
            <w:noWrap/>
            <w:hideMark/>
          </w:tcPr>
          <w:p w14:paraId="375AED4B"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w:t>
            </w:r>
          </w:p>
        </w:tc>
        <w:tc>
          <w:tcPr>
            <w:tcW w:w="779" w:type="dxa"/>
            <w:noWrap/>
            <w:hideMark/>
          </w:tcPr>
          <w:p w14:paraId="364E38A1"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w:t>
            </w:r>
          </w:p>
        </w:tc>
        <w:tc>
          <w:tcPr>
            <w:tcW w:w="833" w:type="dxa"/>
            <w:noWrap/>
            <w:hideMark/>
          </w:tcPr>
          <w:p w14:paraId="71DF3EEB"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5</w:t>
            </w:r>
          </w:p>
        </w:tc>
        <w:tc>
          <w:tcPr>
            <w:tcW w:w="2480" w:type="dxa"/>
            <w:noWrap/>
            <w:hideMark/>
          </w:tcPr>
          <w:p w14:paraId="1C7DB3AF"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0,27</w:t>
            </w:r>
          </w:p>
        </w:tc>
      </w:tr>
      <w:tr w:rsidR="005B5C75" w:rsidRPr="00C316F8" w14:paraId="0AD367DE"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7CE53297"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QUINDIO</w:t>
            </w:r>
          </w:p>
        </w:tc>
        <w:tc>
          <w:tcPr>
            <w:tcW w:w="1200" w:type="dxa"/>
            <w:noWrap/>
            <w:hideMark/>
          </w:tcPr>
          <w:p w14:paraId="7FD2D698"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w:t>
            </w:r>
          </w:p>
        </w:tc>
        <w:tc>
          <w:tcPr>
            <w:tcW w:w="779" w:type="dxa"/>
            <w:noWrap/>
            <w:hideMark/>
          </w:tcPr>
          <w:p w14:paraId="567F7C47"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w:t>
            </w:r>
          </w:p>
        </w:tc>
        <w:tc>
          <w:tcPr>
            <w:tcW w:w="833" w:type="dxa"/>
            <w:noWrap/>
            <w:hideMark/>
          </w:tcPr>
          <w:p w14:paraId="73CFA1C2"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13</w:t>
            </w:r>
          </w:p>
        </w:tc>
        <w:tc>
          <w:tcPr>
            <w:tcW w:w="2480" w:type="dxa"/>
            <w:noWrap/>
            <w:hideMark/>
          </w:tcPr>
          <w:p w14:paraId="7F7D73E0"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0,54</w:t>
            </w:r>
          </w:p>
        </w:tc>
      </w:tr>
      <w:tr w:rsidR="005B5C75" w:rsidRPr="00C316F8" w14:paraId="4ADAF185"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6B445D21"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RISARALDA</w:t>
            </w:r>
          </w:p>
        </w:tc>
        <w:tc>
          <w:tcPr>
            <w:tcW w:w="1200" w:type="dxa"/>
            <w:noWrap/>
            <w:hideMark/>
          </w:tcPr>
          <w:p w14:paraId="38B59EA5"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13</w:t>
            </w:r>
          </w:p>
        </w:tc>
        <w:tc>
          <w:tcPr>
            <w:tcW w:w="779" w:type="dxa"/>
            <w:noWrap/>
            <w:hideMark/>
          </w:tcPr>
          <w:p w14:paraId="2A93E9E6"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833" w:type="dxa"/>
            <w:noWrap/>
            <w:hideMark/>
          </w:tcPr>
          <w:p w14:paraId="0780DAC0"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19</w:t>
            </w:r>
          </w:p>
        </w:tc>
        <w:tc>
          <w:tcPr>
            <w:tcW w:w="2480" w:type="dxa"/>
            <w:noWrap/>
            <w:hideMark/>
          </w:tcPr>
          <w:p w14:paraId="7554A215"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0,62</w:t>
            </w:r>
          </w:p>
        </w:tc>
      </w:tr>
      <w:tr w:rsidR="005B5C75" w:rsidRPr="00C316F8" w14:paraId="3C40B68C"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4C7058C0"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SAN ANDRES</w:t>
            </w:r>
          </w:p>
        </w:tc>
        <w:tc>
          <w:tcPr>
            <w:tcW w:w="1200" w:type="dxa"/>
            <w:noWrap/>
            <w:hideMark/>
          </w:tcPr>
          <w:p w14:paraId="0D09AB00"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w:t>
            </w:r>
          </w:p>
        </w:tc>
        <w:tc>
          <w:tcPr>
            <w:tcW w:w="779" w:type="dxa"/>
            <w:noWrap/>
            <w:hideMark/>
          </w:tcPr>
          <w:p w14:paraId="46F1CC08"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 </w:t>
            </w:r>
          </w:p>
        </w:tc>
        <w:tc>
          <w:tcPr>
            <w:tcW w:w="833" w:type="dxa"/>
            <w:noWrap/>
            <w:hideMark/>
          </w:tcPr>
          <w:p w14:paraId="452D2F1D"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w:t>
            </w:r>
          </w:p>
        </w:tc>
        <w:tc>
          <w:tcPr>
            <w:tcW w:w="2480" w:type="dxa"/>
            <w:noWrap/>
            <w:hideMark/>
          </w:tcPr>
          <w:p w14:paraId="71754E10"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w:t>
            </w:r>
          </w:p>
        </w:tc>
      </w:tr>
      <w:tr w:rsidR="005B5C75" w:rsidRPr="00C316F8" w14:paraId="7CDE5F2C"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19A7E0B8"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SANTANDER</w:t>
            </w:r>
          </w:p>
        </w:tc>
        <w:tc>
          <w:tcPr>
            <w:tcW w:w="1200" w:type="dxa"/>
            <w:noWrap/>
            <w:hideMark/>
          </w:tcPr>
          <w:p w14:paraId="5864ADBC"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26</w:t>
            </w:r>
          </w:p>
        </w:tc>
        <w:tc>
          <w:tcPr>
            <w:tcW w:w="779" w:type="dxa"/>
            <w:noWrap/>
            <w:hideMark/>
          </w:tcPr>
          <w:p w14:paraId="2969FCA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19</w:t>
            </w:r>
          </w:p>
        </w:tc>
        <w:tc>
          <w:tcPr>
            <w:tcW w:w="833" w:type="dxa"/>
            <w:noWrap/>
            <w:hideMark/>
          </w:tcPr>
          <w:p w14:paraId="620EA06E"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45</w:t>
            </w:r>
          </w:p>
        </w:tc>
        <w:tc>
          <w:tcPr>
            <w:tcW w:w="2480" w:type="dxa"/>
            <w:noWrap/>
            <w:hideMark/>
          </w:tcPr>
          <w:p w14:paraId="662D8F46"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0,82</w:t>
            </w:r>
          </w:p>
        </w:tc>
      </w:tr>
      <w:tr w:rsidR="005B5C75" w:rsidRPr="00C316F8" w14:paraId="278D356A"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79F606A7"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STA MARTA D.E.</w:t>
            </w:r>
          </w:p>
        </w:tc>
        <w:tc>
          <w:tcPr>
            <w:tcW w:w="1200" w:type="dxa"/>
            <w:noWrap/>
            <w:hideMark/>
          </w:tcPr>
          <w:p w14:paraId="6E6A359E"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w:t>
            </w:r>
          </w:p>
        </w:tc>
        <w:tc>
          <w:tcPr>
            <w:tcW w:w="779" w:type="dxa"/>
            <w:noWrap/>
            <w:hideMark/>
          </w:tcPr>
          <w:p w14:paraId="7B97DF76"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8</w:t>
            </w:r>
          </w:p>
        </w:tc>
        <w:tc>
          <w:tcPr>
            <w:tcW w:w="833" w:type="dxa"/>
            <w:noWrap/>
            <w:hideMark/>
          </w:tcPr>
          <w:p w14:paraId="0C64B5D2"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w:t>
            </w:r>
          </w:p>
        </w:tc>
        <w:tc>
          <w:tcPr>
            <w:tcW w:w="2480" w:type="dxa"/>
            <w:noWrap/>
            <w:hideMark/>
          </w:tcPr>
          <w:p w14:paraId="0E9FE7D3"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0,74</w:t>
            </w:r>
          </w:p>
        </w:tc>
      </w:tr>
      <w:tr w:rsidR="005B5C75" w:rsidRPr="00C316F8" w14:paraId="59AD20F7" w14:textId="77777777" w:rsidTr="008A5F8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6F46D9FA"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SUCRE</w:t>
            </w:r>
          </w:p>
        </w:tc>
        <w:tc>
          <w:tcPr>
            <w:tcW w:w="1200" w:type="dxa"/>
            <w:noWrap/>
            <w:hideMark/>
          </w:tcPr>
          <w:p w14:paraId="0C254E0D"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w:t>
            </w:r>
          </w:p>
        </w:tc>
        <w:tc>
          <w:tcPr>
            <w:tcW w:w="779" w:type="dxa"/>
            <w:noWrap/>
            <w:hideMark/>
          </w:tcPr>
          <w:p w14:paraId="0E2FF083"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w:t>
            </w:r>
          </w:p>
        </w:tc>
        <w:tc>
          <w:tcPr>
            <w:tcW w:w="833" w:type="dxa"/>
            <w:noWrap/>
            <w:hideMark/>
          </w:tcPr>
          <w:p w14:paraId="602A965F"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15</w:t>
            </w:r>
          </w:p>
        </w:tc>
        <w:tc>
          <w:tcPr>
            <w:tcW w:w="2480" w:type="dxa"/>
            <w:noWrap/>
            <w:hideMark/>
          </w:tcPr>
          <w:p w14:paraId="5CD7B0F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0,62</w:t>
            </w:r>
          </w:p>
        </w:tc>
      </w:tr>
      <w:tr w:rsidR="005B5C75" w:rsidRPr="00C316F8" w14:paraId="0511914F" w14:textId="77777777" w:rsidTr="008A5F85">
        <w:trPr>
          <w:trHeight w:val="300"/>
        </w:trPr>
        <w:tc>
          <w:tcPr>
            <w:cnfStyle w:val="001000000000" w:firstRow="0" w:lastRow="0" w:firstColumn="1" w:lastColumn="0" w:oddVBand="0" w:evenVBand="0" w:oddHBand="0" w:evenHBand="0" w:firstRowFirstColumn="0" w:firstRowLastColumn="0" w:lastRowFirstColumn="0" w:lastRowLastColumn="0"/>
            <w:tcW w:w="1940" w:type="dxa"/>
            <w:noWrap/>
            <w:hideMark/>
          </w:tcPr>
          <w:p w14:paraId="61D67BC5"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TOLIMA</w:t>
            </w:r>
          </w:p>
        </w:tc>
        <w:tc>
          <w:tcPr>
            <w:tcW w:w="1200" w:type="dxa"/>
            <w:noWrap/>
            <w:hideMark/>
          </w:tcPr>
          <w:p w14:paraId="7C571ED0"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15</w:t>
            </w:r>
          </w:p>
        </w:tc>
        <w:tc>
          <w:tcPr>
            <w:tcW w:w="779" w:type="dxa"/>
            <w:noWrap/>
            <w:hideMark/>
          </w:tcPr>
          <w:p w14:paraId="35460122"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9</w:t>
            </w:r>
          </w:p>
        </w:tc>
        <w:tc>
          <w:tcPr>
            <w:tcW w:w="833" w:type="dxa"/>
            <w:noWrap/>
            <w:hideMark/>
          </w:tcPr>
          <w:p w14:paraId="59A63AA9"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24</w:t>
            </w:r>
          </w:p>
        </w:tc>
        <w:tc>
          <w:tcPr>
            <w:tcW w:w="2480" w:type="dxa"/>
            <w:noWrap/>
            <w:hideMark/>
          </w:tcPr>
          <w:p w14:paraId="59253FE8"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0,66</w:t>
            </w:r>
          </w:p>
        </w:tc>
      </w:tr>
      <w:tr w:rsidR="005B5C75" w:rsidRPr="00C316F8" w14:paraId="060EF5A4" w14:textId="77777777" w:rsidTr="008A5F8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40" w:type="dxa"/>
            <w:noWrap/>
            <w:hideMark/>
          </w:tcPr>
          <w:p w14:paraId="0E003801"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lastRenderedPageBreak/>
              <w:t>VALLE</w:t>
            </w:r>
          </w:p>
        </w:tc>
        <w:tc>
          <w:tcPr>
            <w:tcW w:w="1200" w:type="dxa"/>
            <w:noWrap/>
            <w:hideMark/>
          </w:tcPr>
          <w:p w14:paraId="3971299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72</w:t>
            </w:r>
          </w:p>
        </w:tc>
        <w:tc>
          <w:tcPr>
            <w:tcW w:w="779" w:type="dxa"/>
            <w:noWrap/>
            <w:hideMark/>
          </w:tcPr>
          <w:p w14:paraId="4555A501"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41</w:t>
            </w:r>
          </w:p>
        </w:tc>
        <w:tc>
          <w:tcPr>
            <w:tcW w:w="833" w:type="dxa"/>
            <w:noWrap/>
            <w:hideMark/>
          </w:tcPr>
          <w:p w14:paraId="01A7E9B7"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113</w:t>
            </w:r>
          </w:p>
        </w:tc>
        <w:tc>
          <w:tcPr>
            <w:tcW w:w="2480" w:type="dxa"/>
            <w:noWrap/>
            <w:hideMark/>
          </w:tcPr>
          <w:p w14:paraId="21BDB67F"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0,89</w:t>
            </w:r>
          </w:p>
        </w:tc>
      </w:tr>
    </w:tbl>
    <w:p w14:paraId="6D5791DA" w14:textId="77777777" w:rsidR="00491C13" w:rsidRPr="00C316F8" w:rsidRDefault="00491C13" w:rsidP="00491C13">
      <w:pPr>
        <w:jc w:val="both"/>
        <w:rPr>
          <w:rFonts w:eastAsia="Calibri" w:cstheme="minorHAnsi"/>
          <w:sz w:val="24"/>
          <w:szCs w:val="24"/>
          <w:lang w:val="es-CO"/>
        </w:rPr>
      </w:pPr>
      <w:r w:rsidRPr="00C316F8">
        <w:rPr>
          <w:rFonts w:eastAsia="Calibri" w:cstheme="minorHAnsi"/>
          <w:sz w:val="24"/>
          <w:szCs w:val="24"/>
          <w:lang w:val="es-CO"/>
        </w:rPr>
        <w:t>Fuente, elaboración propia.</w:t>
      </w:r>
    </w:p>
    <w:p w14:paraId="06F248D8" w14:textId="77777777" w:rsidR="005B5C75" w:rsidRPr="00C316F8" w:rsidRDefault="005B5C75" w:rsidP="003B711F">
      <w:pPr>
        <w:jc w:val="both"/>
        <w:rPr>
          <w:rFonts w:cstheme="minorHAnsi"/>
          <w:sz w:val="24"/>
          <w:szCs w:val="24"/>
        </w:rPr>
      </w:pPr>
    </w:p>
    <w:p w14:paraId="17E14167" w14:textId="48308651" w:rsidR="005B5C75" w:rsidRPr="00C316F8" w:rsidRDefault="005B5C75" w:rsidP="003B711F">
      <w:pPr>
        <w:jc w:val="both"/>
        <w:rPr>
          <w:rFonts w:eastAsia="Times New Roman" w:cstheme="minorHAnsi"/>
          <w:color w:val="000000"/>
          <w:sz w:val="24"/>
          <w:szCs w:val="24"/>
          <w:lang w:val="es-CO" w:eastAsia="es-CO"/>
          <w14:ligatures w14:val="none"/>
        </w:rPr>
      </w:pPr>
      <w:r w:rsidRPr="00C316F8">
        <w:rPr>
          <w:rFonts w:cstheme="minorHAnsi"/>
          <w:sz w:val="24"/>
          <w:szCs w:val="24"/>
          <w:lang w:val="es-CO"/>
        </w:rPr>
        <w:t xml:space="preserve">El análisis de la distribución de centenarios según las categorías de municipios revela que la concentración más significativa se observa en los distritos especiales, seguido por los municipios categorizados como 1 y 6 </w:t>
      </w:r>
      <w:r w:rsidR="006F5FBB" w:rsidRPr="00C316F8">
        <w:rPr>
          <w:rFonts w:cstheme="minorHAnsi"/>
          <w:sz w:val="24"/>
          <w:szCs w:val="24"/>
          <w:lang w:val="es-CO"/>
        </w:rPr>
        <w:t>(</w:t>
      </w:r>
      <w:r w:rsidRPr="00C316F8">
        <w:rPr>
          <w:rFonts w:cstheme="minorHAnsi"/>
          <w:sz w:val="24"/>
          <w:szCs w:val="24"/>
          <w:lang w:val="es-CO"/>
        </w:rPr>
        <w:t xml:space="preserve">Tabla </w:t>
      </w:r>
      <w:r w:rsidR="00A7353C" w:rsidRPr="00C316F8">
        <w:rPr>
          <w:rFonts w:cstheme="minorHAnsi"/>
          <w:sz w:val="24"/>
          <w:szCs w:val="24"/>
          <w:lang w:val="es-CO"/>
        </w:rPr>
        <w:t>17</w:t>
      </w:r>
      <w:r w:rsidRPr="00C316F8">
        <w:rPr>
          <w:rFonts w:cstheme="minorHAnsi"/>
          <w:sz w:val="24"/>
          <w:szCs w:val="24"/>
          <w:lang w:val="es-CO"/>
        </w:rPr>
        <w:t>)</w:t>
      </w:r>
      <w:r w:rsidR="00B26672" w:rsidRPr="00C316F8">
        <w:rPr>
          <w:rFonts w:cstheme="minorHAnsi"/>
          <w:sz w:val="24"/>
          <w:szCs w:val="24"/>
          <w:lang w:val="es-CO"/>
        </w:rPr>
        <w:t xml:space="preserve"> y en la </w:t>
      </w:r>
      <w:r w:rsidRPr="00C316F8">
        <w:rPr>
          <w:rFonts w:cstheme="minorHAnsi"/>
          <w:sz w:val="24"/>
          <w:szCs w:val="24"/>
          <w:lang w:val="es-CO"/>
        </w:rPr>
        <w:t xml:space="preserve">Figura </w:t>
      </w:r>
      <w:r w:rsidR="00C77110" w:rsidRPr="00C316F8">
        <w:rPr>
          <w:rFonts w:cstheme="minorHAnsi"/>
          <w:sz w:val="24"/>
          <w:szCs w:val="24"/>
          <w:lang w:val="es-CO"/>
        </w:rPr>
        <w:t>11</w:t>
      </w:r>
      <w:r w:rsidR="00B26672" w:rsidRPr="00C316F8">
        <w:rPr>
          <w:rFonts w:cstheme="minorHAnsi"/>
          <w:sz w:val="24"/>
          <w:szCs w:val="24"/>
          <w:lang w:val="es-CO"/>
        </w:rPr>
        <w:t>.</w:t>
      </w:r>
    </w:p>
    <w:p w14:paraId="3796CDB8" w14:textId="77777777" w:rsidR="005B5C75" w:rsidRPr="00C316F8" w:rsidRDefault="005B5C75" w:rsidP="003B711F">
      <w:pPr>
        <w:jc w:val="both"/>
        <w:rPr>
          <w:rFonts w:cstheme="minorHAnsi"/>
          <w:color w:val="000000"/>
          <w:sz w:val="24"/>
          <w:szCs w:val="24"/>
          <w:lang w:val="es-CO"/>
        </w:rPr>
      </w:pPr>
      <w:r w:rsidRPr="00C316F8">
        <w:rPr>
          <w:rFonts w:cstheme="minorHAnsi"/>
          <w:color w:val="000000"/>
          <w:sz w:val="24"/>
          <w:szCs w:val="24"/>
          <w:lang w:val="es-CO"/>
        </w:rPr>
        <w:t xml:space="preserve">En los distritos especiales, se observa una concentración significativa de centenarios, siendo Bogotá la ciudad con la mayor densidad, seguida por Medellín, Cali y Cartagena. Entre los municipios de primera categoría, se identifican poblaciones centenarias en lugares como Bucaramanga, Ibagué, Manizales, Pasto, Pereira, Neiva, Santa Marta, Cúcuta, Soacha, Villavicencio, Montería, Valledupar, Armenia y Bello. </w:t>
      </w:r>
    </w:p>
    <w:p w14:paraId="2F5EDE01" w14:textId="77777777" w:rsidR="005B5C75" w:rsidRPr="00C316F8" w:rsidRDefault="005B5C75" w:rsidP="003B711F">
      <w:pPr>
        <w:jc w:val="both"/>
        <w:rPr>
          <w:rFonts w:cstheme="minorHAnsi"/>
          <w:color w:val="000000"/>
          <w:sz w:val="24"/>
          <w:szCs w:val="24"/>
          <w:lang w:val="es-CO"/>
        </w:rPr>
      </w:pPr>
      <w:r w:rsidRPr="00C316F8">
        <w:rPr>
          <w:rFonts w:cstheme="minorHAnsi"/>
          <w:color w:val="000000"/>
          <w:sz w:val="24"/>
          <w:szCs w:val="24"/>
          <w:lang w:val="es-CO"/>
        </w:rPr>
        <w:t>En cuanto a los municipios de sexta categoría, sobresalen Baranoa, Anolaima, San Juan del Cesar, Villanueva, Arjona, El Colegio, Guaduas, Mompós, Pamplona, San Andrés, Santafé de Antioquia, Sevilla y Arbeláez.</w:t>
      </w:r>
    </w:p>
    <w:p w14:paraId="103DC4F1" w14:textId="7649F8B4" w:rsidR="00A7353C" w:rsidRPr="00C316F8" w:rsidRDefault="00A7353C" w:rsidP="00A7353C">
      <w:pPr>
        <w:pStyle w:val="Descripcin"/>
        <w:rPr>
          <w:rFonts w:asciiTheme="minorHAnsi" w:hAnsiTheme="minorHAnsi" w:cstheme="minorHAnsi"/>
          <w:b/>
          <w:bCs/>
          <w:i w:val="0"/>
          <w:iCs w:val="0"/>
          <w:color w:val="auto"/>
          <w:sz w:val="24"/>
          <w:szCs w:val="24"/>
        </w:rPr>
      </w:pPr>
      <w:bookmarkStart w:id="91" w:name="_Toc229834705"/>
      <w:r w:rsidRPr="00C316F8">
        <w:rPr>
          <w:rFonts w:asciiTheme="minorHAnsi" w:hAnsiTheme="minorHAnsi" w:cstheme="minorHAnsi"/>
          <w:b/>
          <w:bCs/>
          <w:i w:val="0"/>
          <w:iCs w:val="0"/>
          <w:color w:val="auto"/>
          <w:sz w:val="24"/>
          <w:szCs w:val="24"/>
        </w:rPr>
        <w:t xml:space="preserve">Tabla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Tabla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17</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Distribución de frecuencias de centenarios por categoría de municipio</w:t>
      </w:r>
      <w:bookmarkEnd w:id="91"/>
    </w:p>
    <w:tbl>
      <w:tblPr>
        <w:tblStyle w:val="Tabladelista3-nfasis4"/>
        <w:tblW w:w="4798" w:type="dxa"/>
        <w:tblLook w:val="04A0" w:firstRow="1" w:lastRow="0" w:firstColumn="1" w:lastColumn="0" w:noHBand="0" w:noVBand="1"/>
      </w:tblPr>
      <w:tblGrid>
        <w:gridCol w:w="1840"/>
        <w:gridCol w:w="1471"/>
        <w:gridCol w:w="1487"/>
      </w:tblGrid>
      <w:tr w:rsidR="005B5C75" w:rsidRPr="00C316F8" w14:paraId="7B33BDCA" w14:textId="77777777" w:rsidTr="00C77110">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840" w:type="dxa"/>
            <w:noWrap/>
            <w:hideMark/>
          </w:tcPr>
          <w:p w14:paraId="384A206B"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MUNICIPIO</w:t>
            </w:r>
          </w:p>
        </w:tc>
        <w:tc>
          <w:tcPr>
            <w:tcW w:w="1471" w:type="dxa"/>
            <w:noWrap/>
            <w:hideMark/>
          </w:tcPr>
          <w:p w14:paraId="0ECA882F" w14:textId="77777777" w:rsidR="005B5C75" w:rsidRPr="00C316F8" w:rsidRDefault="005B5C75" w:rsidP="003B711F">
            <w:pPr>
              <w:jc w:val="both"/>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FRECUENCIA</w:t>
            </w:r>
          </w:p>
        </w:tc>
        <w:tc>
          <w:tcPr>
            <w:tcW w:w="1487" w:type="dxa"/>
            <w:noWrap/>
            <w:hideMark/>
          </w:tcPr>
          <w:p w14:paraId="0AD7285A" w14:textId="77777777" w:rsidR="005B5C75" w:rsidRPr="00C316F8" w:rsidRDefault="005B5C75" w:rsidP="003B711F">
            <w:pPr>
              <w:jc w:val="both"/>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PORCENTAJE</w:t>
            </w:r>
          </w:p>
        </w:tc>
      </w:tr>
      <w:tr w:rsidR="005B5C75" w:rsidRPr="00C316F8" w14:paraId="1F8CE130" w14:textId="77777777" w:rsidTr="00C7711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0B04D7F6"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CATEGORIA 1</w:t>
            </w:r>
          </w:p>
        </w:tc>
        <w:tc>
          <w:tcPr>
            <w:tcW w:w="1471" w:type="dxa"/>
            <w:noWrap/>
            <w:hideMark/>
          </w:tcPr>
          <w:p w14:paraId="53DDA94B"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195</w:t>
            </w:r>
          </w:p>
        </w:tc>
        <w:tc>
          <w:tcPr>
            <w:tcW w:w="1487" w:type="dxa"/>
            <w:noWrap/>
            <w:hideMark/>
          </w:tcPr>
          <w:p w14:paraId="79B49389"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19.40</w:t>
            </w:r>
          </w:p>
        </w:tc>
      </w:tr>
      <w:tr w:rsidR="005B5C75" w:rsidRPr="00C316F8" w14:paraId="09E0DB09" w14:textId="77777777" w:rsidTr="00C7711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7AA7AFFF"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CATEGORIA 2</w:t>
            </w:r>
          </w:p>
        </w:tc>
        <w:tc>
          <w:tcPr>
            <w:tcW w:w="1471" w:type="dxa"/>
            <w:noWrap/>
            <w:hideMark/>
          </w:tcPr>
          <w:p w14:paraId="0E17C75F"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62</w:t>
            </w:r>
          </w:p>
        </w:tc>
        <w:tc>
          <w:tcPr>
            <w:tcW w:w="1487" w:type="dxa"/>
            <w:noWrap/>
            <w:hideMark/>
          </w:tcPr>
          <w:p w14:paraId="41483332"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6.17</w:t>
            </w:r>
          </w:p>
        </w:tc>
      </w:tr>
      <w:tr w:rsidR="005B5C75" w:rsidRPr="00C316F8" w14:paraId="43F72EF5" w14:textId="77777777" w:rsidTr="00C7711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123FA1E4"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CATEGORIA 3</w:t>
            </w:r>
          </w:p>
        </w:tc>
        <w:tc>
          <w:tcPr>
            <w:tcW w:w="1471" w:type="dxa"/>
            <w:noWrap/>
            <w:hideMark/>
          </w:tcPr>
          <w:p w14:paraId="2E327575"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28</w:t>
            </w:r>
          </w:p>
        </w:tc>
        <w:tc>
          <w:tcPr>
            <w:tcW w:w="1487" w:type="dxa"/>
            <w:noWrap/>
            <w:hideMark/>
          </w:tcPr>
          <w:p w14:paraId="60D0C3DF"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2.79</w:t>
            </w:r>
          </w:p>
        </w:tc>
      </w:tr>
      <w:tr w:rsidR="005B5C75" w:rsidRPr="00C316F8" w14:paraId="7BBD48C4" w14:textId="77777777" w:rsidTr="00C7711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7CD14AE3"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CATEGORIA 4</w:t>
            </w:r>
          </w:p>
        </w:tc>
        <w:tc>
          <w:tcPr>
            <w:tcW w:w="1471" w:type="dxa"/>
            <w:noWrap/>
            <w:hideMark/>
          </w:tcPr>
          <w:p w14:paraId="0432D729"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31</w:t>
            </w:r>
          </w:p>
        </w:tc>
        <w:tc>
          <w:tcPr>
            <w:tcW w:w="1487" w:type="dxa"/>
            <w:noWrap/>
            <w:hideMark/>
          </w:tcPr>
          <w:p w14:paraId="2D74FA91"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3.08</w:t>
            </w:r>
          </w:p>
        </w:tc>
      </w:tr>
      <w:tr w:rsidR="005B5C75" w:rsidRPr="00C316F8" w14:paraId="738C88DC" w14:textId="77777777" w:rsidTr="00C7711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279D7AF8"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CATEGORIA 5</w:t>
            </w:r>
          </w:p>
        </w:tc>
        <w:tc>
          <w:tcPr>
            <w:tcW w:w="1471" w:type="dxa"/>
            <w:noWrap/>
            <w:hideMark/>
          </w:tcPr>
          <w:p w14:paraId="5F8347FF"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36</w:t>
            </w:r>
          </w:p>
        </w:tc>
        <w:tc>
          <w:tcPr>
            <w:tcW w:w="1487" w:type="dxa"/>
            <w:noWrap/>
            <w:hideMark/>
          </w:tcPr>
          <w:p w14:paraId="4A6DDB8D"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3.58</w:t>
            </w:r>
          </w:p>
        </w:tc>
      </w:tr>
      <w:tr w:rsidR="005B5C75" w:rsidRPr="00C316F8" w14:paraId="3E1FB382" w14:textId="77777777" w:rsidTr="00C7711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716B5B8D"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CATEGORIA 6</w:t>
            </w:r>
          </w:p>
        </w:tc>
        <w:tc>
          <w:tcPr>
            <w:tcW w:w="1471" w:type="dxa"/>
            <w:noWrap/>
            <w:hideMark/>
          </w:tcPr>
          <w:p w14:paraId="3EA42556"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192</w:t>
            </w:r>
          </w:p>
        </w:tc>
        <w:tc>
          <w:tcPr>
            <w:tcW w:w="1487" w:type="dxa"/>
            <w:noWrap/>
            <w:hideMark/>
          </w:tcPr>
          <w:p w14:paraId="3A392A7C"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19.10</w:t>
            </w:r>
          </w:p>
        </w:tc>
      </w:tr>
      <w:tr w:rsidR="005B5C75" w:rsidRPr="00C316F8" w14:paraId="563C7F03" w14:textId="77777777" w:rsidTr="00C7711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6136619C"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ESPECIAL</w:t>
            </w:r>
          </w:p>
        </w:tc>
        <w:tc>
          <w:tcPr>
            <w:tcW w:w="1471" w:type="dxa"/>
            <w:noWrap/>
            <w:hideMark/>
          </w:tcPr>
          <w:p w14:paraId="7E4B8046"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461</w:t>
            </w:r>
          </w:p>
        </w:tc>
        <w:tc>
          <w:tcPr>
            <w:tcW w:w="1487" w:type="dxa"/>
            <w:noWrap/>
            <w:hideMark/>
          </w:tcPr>
          <w:p w14:paraId="3184FF22" w14:textId="77777777" w:rsidR="005B5C75" w:rsidRPr="00C316F8" w:rsidRDefault="005B5C75" w:rsidP="003B711F">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45.87</w:t>
            </w:r>
          </w:p>
        </w:tc>
      </w:tr>
      <w:tr w:rsidR="005B5C75" w:rsidRPr="00C316F8" w14:paraId="1477CD7B" w14:textId="77777777" w:rsidTr="00C77110">
        <w:trPr>
          <w:trHeight w:val="300"/>
        </w:trPr>
        <w:tc>
          <w:tcPr>
            <w:cnfStyle w:val="001000000000" w:firstRow="0" w:lastRow="0" w:firstColumn="1" w:lastColumn="0" w:oddVBand="0" w:evenVBand="0" w:oddHBand="0" w:evenHBand="0" w:firstRowFirstColumn="0" w:firstRowLastColumn="0" w:lastRowFirstColumn="0" w:lastRowLastColumn="0"/>
            <w:tcW w:w="1840" w:type="dxa"/>
            <w:noWrap/>
            <w:hideMark/>
          </w:tcPr>
          <w:p w14:paraId="69E170C0" w14:textId="77777777" w:rsidR="005B5C75" w:rsidRPr="00C316F8" w:rsidRDefault="005B5C75" w:rsidP="003B711F">
            <w:pPr>
              <w:jc w:val="both"/>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Total</w:t>
            </w:r>
          </w:p>
        </w:tc>
        <w:tc>
          <w:tcPr>
            <w:tcW w:w="1471" w:type="dxa"/>
            <w:noWrap/>
            <w:hideMark/>
          </w:tcPr>
          <w:p w14:paraId="08AF6DB7"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1,005</w:t>
            </w:r>
          </w:p>
        </w:tc>
        <w:tc>
          <w:tcPr>
            <w:tcW w:w="1487" w:type="dxa"/>
            <w:noWrap/>
            <w:hideMark/>
          </w:tcPr>
          <w:p w14:paraId="4D10B18A" w14:textId="77777777" w:rsidR="005B5C75" w:rsidRPr="00C316F8" w:rsidRDefault="005B5C75" w:rsidP="003B711F">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s-CO"/>
                <w14:ligatures w14:val="none"/>
              </w:rPr>
            </w:pPr>
            <w:r w:rsidRPr="00C316F8">
              <w:rPr>
                <w:rFonts w:eastAsia="Times New Roman" w:cstheme="minorHAnsi"/>
                <w:color w:val="000000"/>
                <w:sz w:val="24"/>
                <w:szCs w:val="24"/>
                <w:lang w:eastAsia="es-CO"/>
                <w14:ligatures w14:val="none"/>
              </w:rPr>
              <w:t>100.00</w:t>
            </w:r>
          </w:p>
        </w:tc>
      </w:tr>
    </w:tbl>
    <w:p w14:paraId="6FA12149" w14:textId="77777777" w:rsidR="00491C13" w:rsidRPr="00C316F8" w:rsidRDefault="00491C13" w:rsidP="00491C13">
      <w:pPr>
        <w:jc w:val="both"/>
        <w:rPr>
          <w:rFonts w:eastAsia="Calibri" w:cstheme="minorHAnsi"/>
          <w:sz w:val="24"/>
          <w:szCs w:val="24"/>
          <w:lang w:val="es-CO"/>
        </w:rPr>
      </w:pPr>
      <w:r w:rsidRPr="00C316F8">
        <w:rPr>
          <w:rFonts w:eastAsia="Calibri" w:cstheme="minorHAnsi"/>
          <w:sz w:val="24"/>
          <w:szCs w:val="24"/>
          <w:lang w:val="es-CO"/>
        </w:rPr>
        <w:t>Fuente, elaboración propia.</w:t>
      </w:r>
    </w:p>
    <w:p w14:paraId="5312B310" w14:textId="77777777" w:rsidR="005B5C75" w:rsidRPr="00C316F8" w:rsidRDefault="005B5C75" w:rsidP="003B711F">
      <w:pPr>
        <w:jc w:val="both"/>
        <w:rPr>
          <w:rFonts w:cstheme="minorHAnsi"/>
          <w:bCs/>
          <w:sz w:val="24"/>
          <w:szCs w:val="24"/>
        </w:rPr>
      </w:pPr>
    </w:p>
    <w:p w14:paraId="0F6C3C51" w14:textId="7B6DF386" w:rsidR="005B5C75" w:rsidRPr="00C316F8" w:rsidRDefault="005B5C75" w:rsidP="003B711F">
      <w:pPr>
        <w:jc w:val="both"/>
        <w:rPr>
          <w:rFonts w:cstheme="minorHAnsi"/>
          <w:color w:val="000000"/>
          <w:sz w:val="24"/>
          <w:szCs w:val="24"/>
          <w:lang w:val="es-CO"/>
        </w:rPr>
      </w:pPr>
      <w:r w:rsidRPr="00C316F8">
        <w:rPr>
          <w:rFonts w:cstheme="minorHAnsi"/>
          <w:color w:val="000000"/>
          <w:sz w:val="24"/>
          <w:szCs w:val="24"/>
          <w:lang w:val="es-CO"/>
        </w:rPr>
        <w:t xml:space="preserve">En la figura </w:t>
      </w:r>
      <w:r w:rsidR="00C77110" w:rsidRPr="00C316F8">
        <w:rPr>
          <w:rFonts w:cstheme="minorHAnsi"/>
          <w:color w:val="000000"/>
          <w:sz w:val="24"/>
          <w:szCs w:val="24"/>
          <w:lang w:val="es-CO"/>
        </w:rPr>
        <w:t>11</w:t>
      </w:r>
      <w:r w:rsidRPr="00C316F8">
        <w:rPr>
          <w:rFonts w:cstheme="minorHAnsi"/>
          <w:color w:val="000000"/>
          <w:sz w:val="24"/>
          <w:szCs w:val="24"/>
          <w:lang w:val="es-CO"/>
        </w:rPr>
        <w:t xml:space="preserve"> se observa el mapa con una representación espacial de la distribución de casos contagiados con COVID-19 de centenarios en el territorio colombiano, por categorización de municipios. La visualización revela una concentración destacada en las regiones Andina y Caribe, mientras que en la región pacífica la presencia es menos pronunciada. Es notable la escasez de centenarios en la región costera pacífica en contraste con la costa de la región Caribe, en la región Insular también se encuentran casos, y es importante destacar la ausencia completa en las regiones de la Orinoquía y la Amazonía. Los municipios que más concentran casos en centenarios en el territorio colombiano son los especiales, de primera categoría y sexta categoría.</w:t>
      </w:r>
    </w:p>
    <w:p w14:paraId="13D45A97" w14:textId="77777777" w:rsidR="00491C13" w:rsidRPr="00C316F8" w:rsidRDefault="00491C13" w:rsidP="00C77110">
      <w:pPr>
        <w:pStyle w:val="Descripcin"/>
        <w:rPr>
          <w:rFonts w:asciiTheme="minorHAnsi" w:hAnsiTheme="minorHAnsi" w:cstheme="minorHAnsi"/>
          <w:b/>
          <w:bCs/>
          <w:i w:val="0"/>
          <w:iCs w:val="0"/>
          <w:color w:val="auto"/>
          <w:sz w:val="24"/>
          <w:szCs w:val="24"/>
        </w:rPr>
      </w:pPr>
    </w:p>
    <w:p w14:paraId="36625C38" w14:textId="77777777" w:rsidR="00491C13" w:rsidRPr="00C316F8" w:rsidRDefault="00491C13" w:rsidP="00C77110">
      <w:pPr>
        <w:pStyle w:val="Descripcin"/>
        <w:rPr>
          <w:rFonts w:asciiTheme="minorHAnsi" w:hAnsiTheme="minorHAnsi" w:cstheme="minorHAnsi"/>
          <w:b/>
          <w:bCs/>
          <w:i w:val="0"/>
          <w:iCs w:val="0"/>
          <w:color w:val="auto"/>
          <w:sz w:val="24"/>
          <w:szCs w:val="24"/>
        </w:rPr>
      </w:pPr>
    </w:p>
    <w:p w14:paraId="22952ED4" w14:textId="77777777" w:rsidR="006F5FBB" w:rsidRPr="00C316F8" w:rsidRDefault="006F5FBB" w:rsidP="006F5FBB">
      <w:pPr>
        <w:rPr>
          <w:lang w:val="es-CO"/>
        </w:rPr>
      </w:pPr>
    </w:p>
    <w:p w14:paraId="0EE915F5" w14:textId="77777777" w:rsidR="00491C13" w:rsidRPr="00C316F8" w:rsidRDefault="00491C13" w:rsidP="00C77110">
      <w:pPr>
        <w:pStyle w:val="Descripcin"/>
        <w:rPr>
          <w:rFonts w:asciiTheme="minorHAnsi" w:hAnsiTheme="minorHAnsi" w:cstheme="minorHAnsi"/>
          <w:b/>
          <w:bCs/>
          <w:i w:val="0"/>
          <w:iCs w:val="0"/>
          <w:color w:val="auto"/>
          <w:sz w:val="24"/>
          <w:szCs w:val="24"/>
        </w:rPr>
      </w:pPr>
    </w:p>
    <w:p w14:paraId="46529830" w14:textId="270A5612" w:rsidR="005B5C75" w:rsidRPr="00C316F8" w:rsidRDefault="00C77110" w:rsidP="00C77110">
      <w:pPr>
        <w:pStyle w:val="Descripcin"/>
        <w:rPr>
          <w:rFonts w:asciiTheme="minorHAnsi" w:hAnsiTheme="minorHAnsi" w:cstheme="minorHAnsi"/>
          <w:b/>
          <w:bCs/>
          <w:i w:val="0"/>
          <w:iCs w:val="0"/>
          <w:color w:val="auto"/>
          <w:sz w:val="24"/>
          <w:szCs w:val="24"/>
        </w:rPr>
      </w:pPr>
      <w:bookmarkStart w:id="92" w:name="_Toc229834716"/>
      <w:r w:rsidRPr="00C316F8">
        <w:rPr>
          <w:rFonts w:asciiTheme="minorHAnsi" w:hAnsiTheme="minorHAnsi" w:cstheme="minorHAnsi"/>
          <w:b/>
          <w:bCs/>
          <w:i w:val="0"/>
          <w:iCs w:val="0"/>
          <w:color w:val="auto"/>
          <w:sz w:val="24"/>
          <w:szCs w:val="24"/>
        </w:rPr>
        <w:t xml:space="preserve">Figura </w:t>
      </w:r>
      <w:r w:rsidRPr="00C316F8">
        <w:rPr>
          <w:rFonts w:asciiTheme="minorHAnsi" w:hAnsiTheme="minorHAnsi" w:cstheme="minorHAnsi"/>
          <w:b/>
          <w:bCs/>
          <w:i w:val="0"/>
          <w:iCs w:val="0"/>
          <w:color w:val="auto"/>
          <w:sz w:val="24"/>
          <w:szCs w:val="24"/>
        </w:rPr>
        <w:fldChar w:fldCharType="begin"/>
      </w:r>
      <w:r w:rsidRPr="00C316F8">
        <w:rPr>
          <w:rFonts w:asciiTheme="minorHAnsi" w:hAnsiTheme="minorHAnsi" w:cstheme="minorHAnsi"/>
          <w:b/>
          <w:bCs/>
          <w:i w:val="0"/>
          <w:iCs w:val="0"/>
          <w:color w:val="auto"/>
          <w:sz w:val="24"/>
          <w:szCs w:val="24"/>
        </w:rPr>
        <w:instrText xml:space="preserve"> SEQ Figura \* ARABIC </w:instrText>
      </w:r>
      <w:r w:rsidRPr="00C316F8">
        <w:rPr>
          <w:rFonts w:asciiTheme="minorHAnsi" w:hAnsiTheme="minorHAnsi" w:cstheme="minorHAnsi"/>
          <w:b/>
          <w:bCs/>
          <w:i w:val="0"/>
          <w:iCs w:val="0"/>
          <w:color w:val="auto"/>
          <w:sz w:val="24"/>
          <w:szCs w:val="24"/>
        </w:rPr>
        <w:fldChar w:fldCharType="separate"/>
      </w:r>
      <w:r w:rsidR="00432859" w:rsidRPr="00C316F8">
        <w:rPr>
          <w:rFonts w:asciiTheme="minorHAnsi" w:hAnsiTheme="minorHAnsi" w:cstheme="minorHAnsi"/>
          <w:b/>
          <w:bCs/>
          <w:i w:val="0"/>
          <w:iCs w:val="0"/>
          <w:noProof/>
          <w:color w:val="auto"/>
          <w:sz w:val="24"/>
          <w:szCs w:val="24"/>
        </w:rPr>
        <w:t>11</w:t>
      </w:r>
      <w:r w:rsidRPr="00C316F8">
        <w:rPr>
          <w:rFonts w:asciiTheme="minorHAnsi" w:hAnsiTheme="minorHAnsi" w:cstheme="minorHAnsi"/>
          <w:b/>
          <w:bCs/>
          <w:i w:val="0"/>
          <w:iCs w:val="0"/>
          <w:color w:val="auto"/>
          <w:sz w:val="24"/>
          <w:szCs w:val="24"/>
        </w:rPr>
        <w:fldChar w:fldCharType="end"/>
      </w:r>
      <w:r w:rsidRPr="00C316F8">
        <w:rPr>
          <w:rFonts w:asciiTheme="minorHAnsi" w:hAnsiTheme="minorHAnsi" w:cstheme="minorHAnsi"/>
          <w:b/>
          <w:bCs/>
          <w:i w:val="0"/>
          <w:iCs w:val="0"/>
          <w:color w:val="auto"/>
          <w:sz w:val="24"/>
          <w:szCs w:val="24"/>
        </w:rPr>
        <w:t>. Mapa de casos de COVID-19 en centenarios por categoría de municipios</w:t>
      </w:r>
      <w:bookmarkEnd w:id="92"/>
    </w:p>
    <w:p w14:paraId="1661203C" w14:textId="77777777" w:rsidR="005B5C75" w:rsidRPr="00C316F8" w:rsidRDefault="005B5C75" w:rsidP="003B711F">
      <w:pPr>
        <w:jc w:val="both"/>
        <w:rPr>
          <w:rFonts w:cstheme="minorHAnsi"/>
          <w:sz w:val="24"/>
          <w:szCs w:val="24"/>
        </w:rPr>
      </w:pPr>
      <w:r w:rsidRPr="00C316F8">
        <w:rPr>
          <w:rFonts w:cstheme="minorHAnsi"/>
          <w:noProof/>
          <w:sz w:val="24"/>
          <w:szCs w:val="24"/>
        </w:rPr>
        <w:drawing>
          <wp:inline distT="0" distB="0" distL="0" distR="0" wp14:anchorId="691733F7" wp14:editId="3A31896F">
            <wp:extent cx="4857750" cy="6848475"/>
            <wp:effectExtent l="0" t="0" r="0" b="9525"/>
            <wp:docPr id="1919963914" name="Imagen 4"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963914" name="Imagen 4" descr="Mapa&#10;&#10;Descripción generada automáticament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57750" cy="6848475"/>
                    </a:xfrm>
                    <a:prstGeom prst="rect">
                      <a:avLst/>
                    </a:prstGeom>
                    <a:noFill/>
                    <a:ln>
                      <a:noFill/>
                    </a:ln>
                  </pic:spPr>
                </pic:pic>
              </a:graphicData>
            </a:graphic>
          </wp:inline>
        </w:drawing>
      </w:r>
    </w:p>
    <w:p w14:paraId="49F630F1" w14:textId="77777777" w:rsidR="00491C13" w:rsidRPr="00C316F8" w:rsidRDefault="00491C13" w:rsidP="00491C13">
      <w:pPr>
        <w:jc w:val="both"/>
        <w:rPr>
          <w:rFonts w:eastAsia="Calibri" w:cstheme="minorHAnsi"/>
          <w:sz w:val="24"/>
          <w:szCs w:val="24"/>
          <w:lang w:val="es-CO"/>
        </w:rPr>
      </w:pPr>
      <w:r w:rsidRPr="00C316F8">
        <w:rPr>
          <w:rFonts w:eastAsia="Calibri" w:cstheme="minorHAnsi"/>
          <w:sz w:val="24"/>
          <w:szCs w:val="24"/>
          <w:lang w:val="es-CO"/>
        </w:rPr>
        <w:lastRenderedPageBreak/>
        <w:t>Fuente, elaboración propia.</w:t>
      </w:r>
    </w:p>
    <w:p w14:paraId="311A1ED7" w14:textId="77777777" w:rsidR="006F5FBB" w:rsidRPr="00C316F8" w:rsidRDefault="006F5FBB" w:rsidP="00491C13">
      <w:pPr>
        <w:jc w:val="both"/>
        <w:rPr>
          <w:rFonts w:eastAsia="Calibri" w:cstheme="minorHAnsi"/>
          <w:sz w:val="24"/>
          <w:szCs w:val="24"/>
          <w:lang w:val="es-CO"/>
        </w:rPr>
      </w:pPr>
    </w:p>
    <w:p w14:paraId="271E670B" w14:textId="22024C1C" w:rsidR="005B5C75" w:rsidRPr="00C316F8" w:rsidRDefault="00C77110" w:rsidP="00C77110">
      <w:pPr>
        <w:pStyle w:val="Ttulo1"/>
        <w:rPr>
          <w:rFonts w:eastAsia="Times New Roman"/>
          <w:lang w:val="es-CO" w:eastAsia="es-CO"/>
        </w:rPr>
      </w:pPr>
      <w:bookmarkStart w:id="93" w:name="_Toc229834682"/>
      <w:r w:rsidRPr="00C316F8">
        <w:rPr>
          <w:rFonts w:eastAsia="Times New Roman"/>
          <w:lang w:val="es-CO" w:eastAsia="es-CO"/>
        </w:rPr>
        <w:t>8.6</w:t>
      </w:r>
      <w:r w:rsidRPr="00C316F8">
        <w:rPr>
          <w:rFonts w:eastAsia="Times New Roman"/>
          <w:lang w:val="es-CO" w:eastAsia="es-CO"/>
        </w:rPr>
        <w:tab/>
      </w:r>
      <w:r w:rsidR="005B5C75" w:rsidRPr="00C316F8">
        <w:rPr>
          <w:rFonts w:eastAsia="Times New Roman"/>
          <w:lang w:val="es-CO" w:eastAsia="es-CO"/>
        </w:rPr>
        <w:t>DISCUSI</w:t>
      </w:r>
      <w:r w:rsidRPr="00C316F8">
        <w:rPr>
          <w:rFonts w:eastAsia="Times New Roman"/>
          <w:lang w:val="es-CO" w:eastAsia="es-CO"/>
        </w:rPr>
        <w:t>Ó</w:t>
      </w:r>
      <w:r w:rsidR="005B5C75" w:rsidRPr="00C316F8">
        <w:rPr>
          <w:rFonts w:eastAsia="Times New Roman"/>
          <w:lang w:val="es-CO" w:eastAsia="es-CO"/>
        </w:rPr>
        <w:t>N</w:t>
      </w:r>
      <w:bookmarkEnd w:id="93"/>
    </w:p>
    <w:p w14:paraId="68B6D6D7" w14:textId="77777777" w:rsidR="00C77110" w:rsidRPr="00C316F8" w:rsidRDefault="00C77110" w:rsidP="00C77110">
      <w:pPr>
        <w:rPr>
          <w:lang w:val="es-CO" w:eastAsia="es-CO"/>
        </w:rPr>
      </w:pPr>
    </w:p>
    <w:p w14:paraId="5463C688" w14:textId="3DEDAAF8" w:rsidR="005B5C75" w:rsidRPr="00C316F8" w:rsidRDefault="005B5C75" w:rsidP="003B711F">
      <w:pPr>
        <w:jc w:val="both"/>
        <w:rPr>
          <w:rFonts w:cstheme="minorHAnsi"/>
          <w:sz w:val="24"/>
          <w:szCs w:val="24"/>
          <w:lang w:val="es-CO"/>
        </w:rPr>
      </w:pPr>
      <w:r w:rsidRPr="00C316F8">
        <w:rPr>
          <w:rFonts w:cstheme="minorHAnsi"/>
          <w:sz w:val="24"/>
          <w:szCs w:val="24"/>
          <w:lang w:val="es-CO"/>
        </w:rPr>
        <w:t>Este estudio, se enfocó la investigación en un grupo particularmente relevante durante la pandemia de COVID-19: los centenarios afectados por este virus. Al sumergirnos en las experiencias de aquellos que han alcanzado los cien años, obtenemos una perspectiva única que arroja luz sobre la interacción compleja entre la longevidad y la vulnerabilidad ante enfermedades. A nivel general, se han identificado diferencias significativas entre mujeres y hombres en aspectos como la esperanza de vida, discapacidad, mortalidad y longevidad, siendo estas disparidades aún más pronunciadas en circunstancias como la actual pandemia de COVID-19</w:t>
      </w:r>
      <w:r w:rsidR="00834277"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{"citationID":"2MKJzqR6","properties":{"formattedCitation":"(72)","plainCitation":"(72)","noteIndex":0},"citationItems":[{"id":960,"uris":["http://zotero.org/users/5785509/items/NGA94F2Z"],"itemData":{"id":960,"type":"article-journal","container-title":"Aging (Albany NY)","issue":"15","journalAbbreviation":"Aging (Albany NY)","page":"15186","publisher":"Impact Journals, LLC","title":"COVID-19 mortality in Lombardy: the vulnerability of the oldest old and the resilience of male centenarians","volume":"12","author":[{"family":"Marcon","given":"Gabriella"},{"family":"Tettamanti","given":"Mauro"},{"family":"Capacci","given":"Giorgia"},{"family":"Fontanel","given":"Giulia"},{"family":"Spanò","given":"Marco"},{"family":"Nobili","given":"Alessandro"},{"family":"Forloni","given":"Gianluigi"},{"family":"Franceschi","given":"Claudio"}],"issued":{"date-parts":[["2020"]]}}}],"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(72)</w:t>
      </w:r>
      <w:r w:rsidRPr="00C316F8">
        <w:rPr>
          <w:rFonts w:cstheme="minorHAnsi"/>
          <w:sz w:val="24"/>
          <w:szCs w:val="24"/>
        </w:rPr>
        <w:fldChar w:fldCharType="end"/>
      </w:r>
      <w:r w:rsidRPr="00C316F8">
        <w:rPr>
          <w:rFonts w:cstheme="minorHAnsi"/>
          <w:sz w:val="24"/>
          <w:szCs w:val="24"/>
          <w:lang w:val="es-CO"/>
        </w:rPr>
        <w:t xml:space="preserve">  </w:t>
      </w:r>
    </w:p>
    <w:p w14:paraId="12C43413" w14:textId="02EC090F"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La infección por COVID-19 desencadena una respuesta inflamatoria exacerbada conocida como tormenta de citoquinas, y los individuos de edad avanzada parecen ser más susceptibles a sus efectos adversos. Sin embargo, se ha observado que, en centenarios, esta respuesta inmunológica se atenúa considerablemente. A pesar de esta disminución, persiste una disparidad en la mortalidad por género en centenarios afectados por COVID-19. Se ha planteado la hipótesis de que los hombres pueden tener una predisposición genética a una mayor producción de interleucina 6, lo que podría tener implicaciones contraproducentes en la longevidad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{"citationID":"jE5uGW21","properties":{"formattedCitation":"(145)","plainCitation":"(145)","noteIndex":0},"citationItems":[{"id":959,"uris":["http://zotero.org/users/5785509/items/VLBB8NCI"],"itemData":{"id":959,"type":"article-journal","container-title":"European journal of immunology","ISSN":"0014-2980","issue":"8","journalAbbreviation":"European journal of immunology","page":"2357-2361","publisher":"Wiley Online Library","title":"A gender–dependent genetic predisposition to produce high levels of IL‐6 is detrimental for longevity","volume":"31","author":[{"family":"Bonafè","given":"Massimiliano"},{"family":"Olivieri","given":"Fabiola"},{"family":"Cavallone","given":"Luca"},{"family":"Giovagnetti","given":"Simona"},{"family":"Marchegiani","given":"Francesca"},{"family":"Cardelli","given":"Maurizio"},{"family":"Pieri","given":"Carlo"},{"family":"Marra","given":"Maurizio"},{"family":"Antonicelli","given":"Roberto"},{"family":"Lisa","given":"Rosmarie"}],"issued":{"date-parts":[["2001"]]}}}],"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(145)</w:t>
      </w:r>
      <w:r w:rsidRPr="00C316F8">
        <w:rPr>
          <w:rFonts w:cstheme="minorHAnsi"/>
          <w:sz w:val="24"/>
          <w:szCs w:val="24"/>
        </w:rPr>
        <w:fldChar w:fldCharType="end"/>
      </w:r>
      <w:r w:rsidRPr="00C316F8">
        <w:rPr>
          <w:rFonts w:cstheme="minorHAnsi"/>
          <w:sz w:val="24"/>
          <w:szCs w:val="24"/>
          <w:lang w:val="es-CO"/>
        </w:rPr>
        <w:t>. Adicionalmente, se ha planteado hipótesis de los genes HLA en la respuesta inmunológica y antiviral es baja en centenarios</w:t>
      </w:r>
      <w:r w:rsidR="00834277" w:rsidRPr="00C316F8">
        <w:rPr>
          <w:rFonts w:cstheme="minorHAnsi"/>
          <w:sz w:val="24"/>
          <w:szCs w:val="24"/>
          <w:lang w:val="es-CO"/>
        </w:rPr>
        <w:t>.</w:t>
      </w:r>
      <w:r w:rsidRPr="00C316F8">
        <w:rPr>
          <w:rFonts w:cstheme="minorHAnsi"/>
          <w:sz w:val="24"/>
          <w:szCs w:val="24"/>
          <w:lang w:val="es-CO"/>
        </w:rPr>
        <w:t xml:space="preserve"> </w:t>
      </w:r>
      <w:r w:rsidRPr="00C316F8">
        <w:rPr>
          <w:rFonts w:cstheme="minorHAnsi"/>
          <w:sz w:val="24"/>
          <w:szCs w:val="24"/>
        </w:rPr>
        <w:fldChar w:fldCharType="begin"/>
      </w:r>
      <w:r w:rsidR="002063BA" w:rsidRPr="00C316F8">
        <w:rPr>
          <w:rFonts w:cstheme="minorHAnsi"/>
          <w:sz w:val="24"/>
          <w:szCs w:val="24"/>
          <w:lang w:val="es-CO"/>
        </w:rPr>
        <w:instrText xml:space="preserve"> ADDIN ZOTERO_ITEM CSL_CITATION {"citationID":"qoiZ4Z1N","properties":{"formattedCitation":"(75)","plainCitation":"(75)","noteIndex":0},"citationItems":[{"id":966,"uris":["http://zotero.org/users/5785509/items/LYMES8ES"],"itemData":{"id":966,"type":"article-journal","container-title":"Immunity &amp; Ageing","ISSN":"1742-4933","issue":"1","journalAbbreviation":"Immunity &amp; Ageing","page":"1-5","publisher":"BioMed Central","title":"Hypothetical COVID-19 protection mechanism: hints from centenarians","volume":"18","author":[{"family":"Guerini","given":"Franca Rosa"},{"family":"Cesari","given":"Matteo"},{"family":"Arosio","given":"Beatrice"}],"issued":{"date-parts":[["2021"]]}}}],"schema":"https://github.com/citation-style-language/schema/raw/master/csl-citation.json"} </w:instrText>
      </w:r>
      <w:r w:rsidRPr="00C316F8">
        <w:rPr>
          <w:rFonts w:cstheme="minorHAnsi"/>
          <w:sz w:val="24"/>
          <w:szCs w:val="24"/>
        </w:rPr>
        <w:fldChar w:fldCharType="separate"/>
      </w:r>
      <w:r w:rsidR="002063BA" w:rsidRPr="00C316F8">
        <w:rPr>
          <w:rFonts w:ascii="Calibri" w:hAnsi="Calibri" w:cs="Calibri"/>
          <w:sz w:val="24"/>
          <w:lang w:val="es-CO"/>
        </w:rPr>
        <w:t>(75)</w:t>
      </w:r>
      <w:r w:rsidRPr="00C316F8">
        <w:rPr>
          <w:rFonts w:cstheme="minorHAnsi"/>
          <w:sz w:val="24"/>
          <w:szCs w:val="24"/>
        </w:rPr>
        <w:fldChar w:fldCharType="end"/>
      </w:r>
    </w:p>
    <w:p w14:paraId="0C0E84D6" w14:textId="77777777"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La mortalidad fue significativamente mayor en hombres (45,25%) que en mujeres (32,83%). El odds ratio de la mortalidad para el género masculino fue de 1,69 (IC 1,29-2,21), lo que indica que los hombres tenían más probabilidades de morir que las mujeres. </w:t>
      </w:r>
    </w:p>
    <w:p w14:paraId="240AC79B" w14:textId="0D7F6200"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En la primera ola de la pandemia en 2020, se observó que los centenarios mayores de 101 </w:t>
      </w:r>
      <w:r w:rsidR="006F5FBB" w:rsidRPr="00C316F8">
        <w:rPr>
          <w:rFonts w:cstheme="minorHAnsi"/>
          <w:sz w:val="24"/>
          <w:szCs w:val="24"/>
          <w:lang w:val="es-CO"/>
        </w:rPr>
        <w:t>años</w:t>
      </w:r>
      <w:r w:rsidRPr="00C316F8">
        <w:rPr>
          <w:rFonts w:cstheme="minorHAnsi"/>
          <w:sz w:val="24"/>
          <w:szCs w:val="24"/>
          <w:lang w:val="es-CO"/>
        </w:rPr>
        <w:t xml:space="preserve"> exhibieron una mayor resistencia al COVID-19, posiblemente relacionada con la pandemia de la gripe española de 1918. A pesar de estos hallazgos, los mecanismos específicos que respaldan esta resistencia aún son desconocidos, subrayando la complejidad de la respuesta a la infección en diversos grupos demográficos. Estos resultados enfatizan la importancia de investigaciones adicionales para comprender completamente las disparidades observadas en la respuesta a la infección por COVID-19 en la población centenaria.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{"citationID":"bOiRX1xV","properties":{"formattedCitation":"(146,147)","plainCitation":"(146,147)","noteIndex":0},"citationItems":[{"id":967,"uris":["http://zotero.org/users/5785509/items/V22VP7JC"],"itemData":{"id":967,"type":"article-journal","container-title":"Aging (Albany NY)","issue":"18","journalAbbreviation":"Aging (Albany NY)","page":"21855","publisher":"Impact Journals, LLC","title":"Centenarians exposed to the Spanish flu in their early life better survived to COVID-19","volume":"13","author":[{"family":"Poulain","given":"Michel"},{"family":"Chambre","given":"Dany"},{"family":"Pes","given":"Giovanni Mario"}],"issued":{"date-parts":[["2021"]]}}},{"id":965,"uris":["http://zotero.org/users/5785509/items/3ZSIHYHH"],"itemData":{"id":965,"type":"article-journal","container-title":"International Journal of Molecular Sciences","ISSN":"1422-0067","issue":"3","journalAbbreviation":"International Journal of Molecular Sciences","page":"2638","publisher":"MDPI","title":"Role of Sex and Age in Fatal Outcomes of COVID-19: Women and Older Centenarians Are More Resilient","volume":"24","author":[{"family":"Caruso","given":"Calogero"},{"family":"Marcon","given":"Gabriella"},{"family":"Accardi","given":"Giulia"},{"family":"Aiello","given":"Anna"},{"family":"Calabrò","given":"Anna"},{"family":"Ligotti","given":"Mattia Emanuela"},{"family":"Tettamanti","given":"Mauro"},{"family":"Franceschi","given":"Claudio"},{"family":"Candore","given":"Giuseppina"}],"issued":{"date-parts":[["2023"]]}}}],"schema":"https://github.com/citation-style-language/schema/raw/master/csl-citation.json"}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(146,147)</w:t>
      </w:r>
      <w:r w:rsidRPr="00C316F8">
        <w:rPr>
          <w:rFonts w:cstheme="minorHAnsi"/>
          <w:sz w:val="24"/>
          <w:szCs w:val="24"/>
        </w:rPr>
        <w:fldChar w:fldCharType="end"/>
      </w:r>
    </w:p>
    <w:p w14:paraId="4C98522F" w14:textId="40952E87"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La tasa de letalidad en la población estudiada alcanzó el 37.5%, mientras que en investigaciones previas realizadas en una población con una edad promedio de 91 años se registró un porcentaje del 33.6%, estos hallazgos sugieren un aumento en la mortalidad asociado con la edad,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{"citationID":"DsojpSwM","properties":{"formattedCitation":"(148)","plainCitation":"(148)","noteIndex":0},"citationItems":[{"id":975,"uris":["http://zotero.org/users/5785509/items/3996HI78"],"itemData":{"id":975,"type":"article-journal","container-title":"Frontiers in medicine","ISSN":"2296-858X","journalAbbreviation":"Frontiers in medicine","page":"1132476","publisher":"Frontiers","title":"Mortality and survival in nonagenarians during the COVID-19 pandemic: Unstable equilibrium of aging","volume":"10","author":[{"family":"Kashtanova","given":"Daria A"},{"family":"Erema","given":"Veronika V"},{"family":"Gusakova","given":"Maria S"},{"family":"Sutulova","given":"Ekaterina R"},{"family":"Yakovchik","given":"Anna Yu"},{"family":"Ivanov","given":"Mikhail V"},{"family":"Taraskina","given":"Anastasiia N"},{"family":"Terekhov","given":"Mikhail V"},{"family":"Matkava","given":"Lorena R"},{"family":"Rumyantseva","given":"Antonina M"}],"issued":{"date-parts":[["2023"]]}}}],"schema":"https://github.com/citation-style-language/schema/raw/master/csl-citation.json"}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(148)</w:t>
      </w:r>
      <w:r w:rsidRPr="00C316F8">
        <w:rPr>
          <w:rFonts w:cstheme="minorHAnsi"/>
          <w:sz w:val="24"/>
          <w:szCs w:val="24"/>
        </w:rPr>
        <w:fldChar w:fldCharType="end"/>
      </w:r>
      <w:r w:rsidRPr="00C316F8">
        <w:rPr>
          <w:rFonts w:cstheme="minorHAnsi"/>
          <w:sz w:val="24"/>
          <w:szCs w:val="24"/>
          <w:lang w:val="es-CO"/>
        </w:rPr>
        <w:t xml:space="preserve"> insinuando la posibilidad de una mayor vulnerabilidad o gravedad de la enfermedad entre la población más longeva.</w:t>
      </w:r>
    </w:p>
    <w:p w14:paraId="0A95BCDA" w14:textId="20BE07C8" w:rsidR="005B5C75" w:rsidRPr="00C316F8" w:rsidRDefault="005B5C75" w:rsidP="003B711F">
      <w:pPr>
        <w:jc w:val="both"/>
        <w:rPr>
          <w:rFonts w:cstheme="minorHAnsi"/>
          <w:sz w:val="24"/>
          <w:szCs w:val="24"/>
          <w:lang w:val="es-CO"/>
        </w:rPr>
      </w:pPr>
      <w:r w:rsidRPr="00C316F8">
        <w:rPr>
          <w:rFonts w:cstheme="minorHAnsi"/>
          <w:sz w:val="24"/>
          <w:szCs w:val="24"/>
          <w:lang w:val="es-CO"/>
        </w:rPr>
        <w:lastRenderedPageBreak/>
        <w:t>La mortalidad a lo largo de los años no mostró diferencia estadística, evidenciando una falta de cambios significativos a lo largo del tiempo. Es relevante destacar que el plan de vacunación contra el COVID-19 en Colombia se inició el 17 de febrero de 2021</w:t>
      </w:r>
      <w:r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{"citationID":"Ek58arVE","properties":{"formattedCitation":"(149)","plainCitation":"(149)","noteIndex":0},"citationItems":[{"id":978,"uris":["http://zotero.org/users/5785509/items/CBPF5QPM"],"itemData":{"id":978,"type":"webpage","title":"Vacunación contra COVID-19","URL":"https://www.minsalud.gov.co/salud/publica/Vacunacion/Paginas/Vacunacion-covid-19.aspx","accessed":{"date-parts":[["2024",2,7]]}}}],"schema":"https://github.com/citation-style-language/schema/raw/master/csl-citation.json"}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(149)</w:t>
      </w:r>
      <w:r w:rsidRPr="00C316F8">
        <w:rPr>
          <w:rFonts w:cstheme="minorHAnsi"/>
          <w:sz w:val="24"/>
          <w:szCs w:val="24"/>
        </w:rPr>
        <w:fldChar w:fldCharType="end"/>
      </w:r>
      <w:r w:rsidRPr="00C316F8">
        <w:rPr>
          <w:rFonts w:cstheme="minorHAnsi"/>
          <w:sz w:val="24"/>
          <w:szCs w:val="24"/>
          <w:lang w:val="es-CO"/>
        </w:rPr>
        <w:t xml:space="preserve">. Esta observación subraya la necesidad de llevar a cabo estudios adicionales para evaluar la aplicación de vacunas y su efectividad en esta población. Adicionalmente, muestran que la ventana temporal desde el inicio de los síntomas hasta la recuperación o la mortalidad es variable. La mediana de la ventana de recuperación es de 18 días, pero el 25% de los individuos se recuperan en menos de 14 días y el 75% en menos de 26 días, siendo similar con otros estudios en donde se encontró que el tiempo de recuperación fue de 23.5 ± 9,9 días, mostrando una amplia variabilidad en la duración de la recuperación.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{"citationID":"CNi9bAWI","properties":{"formattedCitation":"(150)","plainCitation":"(150)","noteIndex":0},"citationItems":[{"id":980,"uris":["http://zotero.org/users/5785509/items/8UKUUVH4"],"itemData":{"id":980,"type":"article-journal","container-title":"Nature communications","ISSN":"2041-1723","issue":"1","journalAbbreviation":"Nature communications","page":"6208","publisher":"Nature Publishing Group UK London","title":"Longitudinal symptom dynamics of COVID-19 infection","volume":"11","author":[{"family":"Mizrahi","given":"Barak"},{"family":"Shilo","given":"Smadar"},{"family":"Rossman","given":"Hagai"},{"family":"Kalkstein","given":"Nir"},{"family":"Marcus","given":"Karni"},{"family":"Barer","given":"Yael"},{"family":"Keshet","given":"Ayya"},{"family":"Shamir-Stein","given":"Na’ama"},{"family":"Shalev","given":"Varda"},{"family":"Zohar","given":"Anat Ekka"}],"issued":{"date-parts":[["2020"]]}}}],"schema":"https://github.com/citation-style-language/schema/raw/master/csl-citation.json"}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(150)</w:t>
      </w:r>
      <w:r w:rsidRPr="00C316F8">
        <w:rPr>
          <w:rFonts w:cstheme="minorHAnsi"/>
          <w:sz w:val="24"/>
          <w:szCs w:val="24"/>
        </w:rPr>
        <w:fldChar w:fldCharType="end"/>
      </w:r>
      <w:r w:rsidRPr="00C316F8">
        <w:rPr>
          <w:rFonts w:cstheme="minorHAnsi"/>
          <w:sz w:val="24"/>
          <w:szCs w:val="24"/>
          <w:lang w:val="es-CO"/>
        </w:rPr>
        <w:t xml:space="preserve"> La mediana de la ventana de mortalidad es de 12 días, pero el 25% de los individuos mueren en menos de 6 días y el 75% en menos de 19 días. En la población general se encontró que la mediana de días hasta la mortalidad fue de 19 días desde el inicio de los síntomas.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{"citationID":"btG2TYwL","properties":{"formattedCitation":"(151)","plainCitation":"(151)","noteIndex":0},"citationItems":[{"id":981,"uris":["http://zotero.org/users/5785509/items/QZ2RWZV8"],"itemData":{"id":981,"type":"article-journal","container-title":"Epidemiology &amp; Infection","ISSN":"0950-2688","journalAbbreviation":"Epidemiology &amp; Infection","publisher":"Cambridge University Press","title":"Mortality and survival of COVID-19","volume":"148","author":[{"family":"Sousa","given":"GJB"},{"family":"Garces","given":"TS"},{"family":"Cestari","given":"VRF"},{"family":"Florêncio","given":"RS"},{"family":"Moreira","given":"TMM"},{"family":"Pereira","given":"MLD"}],"issued":{"date-parts":[["2020"]]}}}],"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(151)</w:t>
      </w:r>
      <w:r w:rsidRPr="00C316F8">
        <w:rPr>
          <w:rFonts w:cstheme="minorHAnsi"/>
          <w:sz w:val="24"/>
          <w:szCs w:val="24"/>
        </w:rPr>
        <w:fldChar w:fldCharType="end"/>
      </w:r>
      <w:r w:rsidRPr="00C316F8">
        <w:rPr>
          <w:rFonts w:cstheme="minorHAnsi"/>
          <w:sz w:val="24"/>
          <w:szCs w:val="24"/>
          <w:lang w:val="es-CO"/>
        </w:rPr>
        <w:t xml:space="preserve">. Estos resultados sugieren que la evolución de la enfermedad es impredecible y que los pacientes deben ser monitorizados de cerca durante al menos 26 días después del inicio de los síntomas. </w:t>
      </w:r>
    </w:p>
    <w:p w14:paraId="2D7AC0A0" w14:textId="4B8C5CBD"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La afiliación étnica en la población estudiada es predominantemente mestiza y blanca, estos resultados son consistentes con la evidencia existente, que muestra que la población colombiana está compuesta en gran medida por esta población. </w:t>
      </w:r>
      <w:r w:rsidRPr="00C316F8">
        <w:rPr>
          <w:rFonts w:cstheme="minorHAnsi"/>
          <w:sz w:val="24"/>
          <w:szCs w:val="24"/>
        </w:rPr>
        <w:fldChar w:fldCharType="begin"/>
      </w:r>
      <w:r w:rsidR="00C34B4F" w:rsidRPr="00C316F8">
        <w:rPr>
          <w:rFonts w:cstheme="minorHAnsi"/>
          <w:sz w:val="24"/>
          <w:szCs w:val="24"/>
          <w:lang w:val="es-CO"/>
        </w:rPr>
        <w:instrText xml:space="preserve"> ADDIN ZOTERO_ITEM CSL_CITATION {"citationID":"pvURmX0A","properties":{"formattedCitation":"(152)","plainCitation":"(152)","noteIndex":0},"citationItems":[{"id":982,"uris":["http://zotero.org/users/5785509/items/XTVWSYQA"],"itemData":{"id":982,"type":"webpage","title":"Grupos étnicos información técnica","URL":"https://web.archive.org/web/20200408132304/https://www.dane.gov.co/index.php/estadisticas-por-tema/demografia-y-poblacion/grupos-etnicos/informacion-tecnica","accessed":{"date-parts":[["2024",2,10]]}}}],"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(152)</w:t>
      </w:r>
      <w:r w:rsidRPr="00C316F8">
        <w:rPr>
          <w:rFonts w:cstheme="minorHAnsi"/>
          <w:sz w:val="24"/>
          <w:szCs w:val="24"/>
        </w:rPr>
        <w:fldChar w:fldCharType="end"/>
      </w:r>
    </w:p>
    <w:p w14:paraId="593C9443" w14:textId="05E0C5CD" w:rsidR="005B5C75" w:rsidRPr="00C316F8" w:rsidRDefault="005B5C75" w:rsidP="003B711F">
      <w:pPr>
        <w:jc w:val="both"/>
        <w:rPr>
          <w:rFonts w:cstheme="minorHAnsi"/>
          <w:sz w:val="24"/>
          <w:szCs w:val="24"/>
          <w:lang w:val="es-CO"/>
        </w:rPr>
      </w:pPr>
      <w:r w:rsidRPr="00C316F8">
        <w:rPr>
          <w:rFonts w:cstheme="minorHAnsi"/>
          <w:sz w:val="24"/>
          <w:szCs w:val="24"/>
          <w:lang w:val="es-CO"/>
        </w:rPr>
        <w:t xml:space="preserve">En Colombia, los municipios se clasifican en tres grupos: Grandes municipios, municipios intermedios y municipios básicos, considerando factores como la población, ingresos corrientes y situación geográfica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{"citationID":"gHV6erPY","properties":{"formattedCitation":"(48,49)","plainCitation":"(48,49)","noteIndex":0},"citationItems":[{"id":950,"uris":["http://zotero.org/users/5785509/items/43HU66EI"],"itemData":{"id":950,"type":"webpage","title":"Ley 1551 de 2012 - Gestor Normativo - Función Pública","URL":"https://www.funcionpublica.gov.co/eva/gestornormativo/norma.php?i=48267","accessed":{"date-parts":[["2024",1,20]]}}},{"id":948,"uris":["http://zotero.org/users/5785509/items/MF2TRRI4"],"itemData":{"id":948,"type":"webpage","title":"LEY 136 DE 1994","URL":"https://www.suin-juriscol.gov.co/viewDocument.asp?id=1648916","accessed":{"date-parts":[["2024",1,20]]}}}],"schema":"https://github.com/citation-style-language/schema/raw/master/csl-citation.json"} </w:instrText>
      </w:r>
      <w:r w:rsidRPr="00C316F8">
        <w:rPr>
          <w:rFonts w:cstheme="minorHAnsi"/>
          <w:sz w:val="24"/>
          <w:szCs w:val="24"/>
        </w:rPr>
        <w:fldChar w:fldCharType="separate"/>
      </w:r>
      <w:r w:rsidR="00CD2033" w:rsidRPr="00C316F8">
        <w:rPr>
          <w:rFonts w:ascii="Calibri" w:hAnsi="Calibri" w:cs="Calibri"/>
          <w:sz w:val="24"/>
          <w:lang w:val="es-CO"/>
        </w:rPr>
        <w:t>(48,49)</w:t>
      </w:r>
      <w:r w:rsidRPr="00C316F8">
        <w:rPr>
          <w:rFonts w:cstheme="minorHAnsi"/>
          <w:sz w:val="24"/>
          <w:szCs w:val="24"/>
        </w:rPr>
        <w:fldChar w:fldCharType="end"/>
      </w:r>
      <w:r w:rsidRPr="00C316F8">
        <w:rPr>
          <w:rFonts w:cstheme="minorHAnsi"/>
          <w:sz w:val="24"/>
          <w:szCs w:val="24"/>
          <w:lang w:val="es-CO"/>
        </w:rPr>
        <w:t>. Los grandes municipios incluyen los de categoría especial y los de primera categoría. Los municipios intermedios abarcan segunda, tercera y cuarta categoría, mientras que los municipios básicos incluyen quinta y sexta categoría.</w:t>
      </w:r>
    </w:p>
    <w:p w14:paraId="0410BBE4" w14:textId="77777777" w:rsidR="005B5C75" w:rsidRPr="00C316F8" w:rsidRDefault="005B5C75" w:rsidP="003B711F">
      <w:pPr>
        <w:jc w:val="both"/>
        <w:rPr>
          <w:rFonts w:cstheme="minorHAnsi"/>
          <w:sz w:val="24"/>
          <w:szCs w:val="24"/>
          <w:lang w:val="es-CO"/>
        </w:rPr>
      </w:pPr>
      <w:r w:rsidRPr="00C316F8">
        <w:rPr>
          <w:rFonts w:cstheme="minorHAnsi"/>
          <w:sz w:val="24"/>
          <w:szCs w:val="24"/>
          <w:lang w:val="es-CO"/>
        </w:rPr>
        <w:t>Durante la pandemia de COVID-19, se observa que la población de centenarios se concentra mayormente en los grandes municipios y en los municipios básicos. Estos resultados resaltan la disparidad en la distribución de centenarios contagiados según la clasificación municipal, subrayando la importancia de considerar las particularidades de cada categoría para comprender la longevidad en diferentes contextos geográficos.</w:t>
      </w:r>
    </w:p>
    <w:p w14:paraId="1104BC60" w14:textId="5419363B" w:rsidR="00D309C5" w:rsidRPr="00C316F8" w:rsidRDefault="005B5C75" w:rsidP="003B711F">
      <w:pPr>
        <w:jc w:val="both"/>
        <w:rPr>
          <w:rFonts w:cstheme="minorHAnsi"/>
          <w:sz w:val="24"/>
          <w:szCs w:val="24"/>
          <w:lang w:val="es-CO"/>
        </w:rPr>
      </w:pPr>
      <w:r w:rsidRPr="00C316F8">
        <w:rPr>
          <w:rFonts w:cstheme="minorHAnsi"/>
          <w:sz w:val="24"/>
          <w:szCs w:val="24"/>
          <w:lang w:val="es-CO"/>
        </w:rPr>
        <w:t xml:space="preserve">La relevancia de esta categorización se enfatiza en términos de mejorar la respuesta del Estado en la provisión de bienes y servicios sociales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{"citationID":"ciODn9zZ","properties":{"formattedCitation":"(153)","plainCitation":"(153)","noteIndex":0},"citationItems":[{"id":961,"uris":["http://zotero.org/users/5785509/items/E87DXQLG"],"itemData":{"id":961,"type":"article-journal","container-title":"Revista Derecho del Estado","ISSN":"0122-9893","issue":"38","journalAbbreviation":"Revista Derecho del Estado","page":"67-95","publisher":"Universidad Externado de Colombia","title":"Importancia de la categorización territorial para la descentralización y las relaciones intergubernamentales en Colombia","author":[{"family":"Duque Cante","given":"Naidú"}],"issued":{"date-parts":[["2017"]]}}}],"schema":"https://github.com/citation-style-language/schema/raw/master/csl-citation.json"}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(153)</w:t>
      </w:r>
      <w:r w:rsidRPr="00C316F8">
        <w:rPr>
          <w:rFonts w:cstheme="minorHAnsi"/>
          <w:sz w:val="24"/>
          <w:szCs w:val="24"/>
        </w:rPr>
        <w:fldChar w:fldCharType="end"/>
      </w:r>
      <w:r w:rsidRPr="00C316F8">
        <w:rPr>
          <w:rFonts w:cstheme="minorHAnsi"/>
          <w:sz w:val="24"/>
          <w:szCs w:val="24"/>
          <w:lang w:val="es-CO"/>
        </w:rPr>
        <w:t xml:space="preserve">. Resulta llamativo que un alto porcentaje de centenarios se encuentre en municipios de sexta categoría, identificando un riesgo debido a que estos municipios presentan un bajo nivel de tributación y una menor complejidad en la atención de la salud </w:t>
      </w:r>
      <w:r w:rsidRPr="00C316F8">
        <w:rPr>
          <w:rFonts w:cstheme="minorHAnsi"/>
          <w:sz w:val="24"/>
          <w:szCs w:val="24"/>
        </w:rPr>
        <w:fldChar w:fldCharType="begin"/>
      </w:r>
      <w:r w:rsidR="00CD2033" w:rsidRPr="00C316F8">
        <w:rPr>
          <w:rFonts w:cstheme="minorHAnsi"/>
          <w:sz w:val="24"/>
          <w:szCs w:val="24"/>
          <w:lang w:val="es-CO"/>
        </w:rPr>
        <w:instrText xml:space="preserve"> ADDIN ZOTERO_ITEM CSL_CITATION {"citationID":"WcWn2syK","properties":{"formattedCitation":"(154)","plainCitation":"(154)","noteIndex":0},"citationItems":[{"id":962,"uris":["http://zotero.org/users/5785509/items/T2WAXCLY"],"itemData":{"id":962,"type":"article-journal","container-title":"Apuntes del CENES","ISSN":"0120-3053","issue":"69","journalAbbreviation":"Apuntes del CENES","page":"137-167","publisher":"Universidad Pedagógica y Tecnológica de Colombia (UPTC)","title":"Los municipios de sexta categoría de Colombia (2000-2016): entre la autonomía y la dependencia","volume":"39","author":[{"family":"Delgado Ruiz","given":"Siervo Tulio"},{"family":"Cárdenas Pinzón","given":"Johanna Inés"},{"family":"Fuentes López","given":"Héctor Javier"}],"issued":{"date-parts":[["2020"]]}}}],"schema":"https://github.com/citation-style-language/schema/raw/master/csl-citation.json"} </w:instrText>
      </w:r>
      <w:r w:rsidRPr="00C316F8">
        <w:rPr>
          <w:rFonts w:cstheme="minorHAnsi"/>
          <w:sz w:val="24"/>
          <w:szCs w:val="24"/>
        </w:rPr>
        <w:fldChar w:fldCharType="separate"/>
      </w:r>
      <w:r w:rsidR="00C34B4F" w:rsidRPr="00C316F8">
        <w:rPr>
          <w:rFonts w:ascii="Calibri" w:hAnsi="Calibri" w:cs="Calibri"/>
          <w:sz w:val="24"/>
          <w:lang w:val="es-CO"/>
        </w:rPr>
        <w:t>(154)</w:t>
      </w:r>
      <w:r w:rsidRPr="00C316F8">
        <w:rPr>
          <w:rFonts w:cstheme="minorHAnsi"/>
          <w:sz w:val="24"/>
          <w:szCs w:val="24"/>
        </w:rPr>
        <w:fldChar w:fldCharType="end"/>
      </w:r>
      <w:r w:rsidRPr="00C316F8">
        <w:rPr>
          <w:rFonts w:cstheme="minorHAnsi"/>
          <w:sz w:val="24"/>
          <w:szCs w:val="24"/>
          <w:lang w:val="es-CO"/>
        </w:rPr>
        <w:t>. Como parte de la política pública de la tercera edad</w:t>
      </w:r>
      <w:r w:rsidR="00A26011" w:rsidRPr="00C316F8">
        <w:rPr>
          <w:rFonts w:cstheme="minorHAnsi"/>
          <w:sz w:val="24"/>
          <w:szCs w:val="24"/>
          <w:lang w:val="es-CO"/>
        </w:rPr>
        <w:t>,</w:t>
      </w:r>
      <w:r w:rsidRPr="00C316F8">
        <w:rPr>
          <w:rFonts w:cstheme="minorHAnsi"/>
          <w:sz w:val="24"/>
          <w:szCs w:val="24"/>
          <w:lang w:val="es-CO"/>
        </w:rPr>
        <w:t xml:space="preserve"> es importante abrir un espacio para los centenarios</w:t>
      </w:r>
      <w:r w:rsidR="00A26011" w:rsidRPr="00C316F8">
        <w:rPr>
          <w:rFonts w:cstheme="minorHAnsi"/>
          <w:sz w:val="24"/>
          <w:szCs w:val="24"/>
          <w:lang w:val="es-CO"/>
        </w:rPr>
        <w:t>,</w:t>
      </w:r>
      <w:r w:rsidRPr="00C316F8">
        <w:rPr>
          <w:rFonts w:cstheme="minorHAnsi"/>
          <w:sz w:val="24"/>
          <w:szCs w:val="24"/>
          <w:lang w:val="es-CO"/>
        </w:rPr>
        <w:t xml:space="preserve"> siendo esto un factor necesario para la sociedad.</w:t>
      </w:r>
    </w:p>
    <w:p w14:paraId="556964B8" w14:textId="77777777" w:rsidR="00D309C5" w:rsidRPr="00C316F8" w:rsidRDefault="00D309C5">
      <w:pPr>
        <w:rPr>
          <w:rFonts w:cstheme="minorHAnsi"/>
          <w:sz w:val="24"/>
          <w:szCs w:val="24"/>
          <w:lang w:val="es-CO"/>
        </w:rPr>
      </w:pPr>
      <w:r w:rsidRPr="00C316F8">
        <w:rPr>
          <w:rFonts w:cstheme="minorHAnsi"/>
          <w:sz w:val="24"/>
          <w:szCs w:val="24"/>
          <w:lang w:val="es-CO"/>
        </w:rPr>
        <w:br w:type="page"/>
      </w:r>
    </w:p>
    <w:p w14:paraId="38C4329D" w14:textId="47B0C0FD" w:rsidR="00D309C5" w:rsidRPr="00C316F8" w:rsidRDefault="00D309C5" w:rsidP="004D060F">
      <w:pPr>
        <w:pStyle w:val="Ttulo2"/>
        <w:numPr>
          <w:ilvl w:val="0"/>
          <w:numId w:val="2"/>
        </w:numPr>
      </w:pPr>
      <w:bookmarkStart w:id="94" w:name="_Toc229834683"/>
      <w:r w:rsidRPr="00C316F8">
        <w:lastRenderedPageBreak/>
        <w:t>CONCLUSIONES</w:t>
      </w:r>
      <w:bookmarkEnd w:id="94"/>
    </w:p>
    <w:p w14:paraId="69A9DDC6" w14:textId="77777777" w:rsidR="004D060F" w:rsidRPr="00C316F8" w:rsidRDefault="004D060F" w:rsidP="004D060F">
      <w:pPr>
        <w:rPr>
          <w:lang w:val="es-CO"/>
        </w:rPr>
      </w:pPr>
    </w:p>
    <w:p w14:paraId="09275DA1" w14:textId="77777777" w:rsidR="00CE0A3A" w:rsidRPr="00C316F8" w:rsidRDefault="00CE0A3A" w:rsidP="00CE0A3A">
      <w:pPr>
        <w:jc w:val="both"/>
        <w:rPr>
          <w:rFonts w:cstheme="minorHAnsi"/>
          <w:bCs/>
          <w:sz w:val="24"/>
          <w:szCs w:val="24"/>
          <w:lang w:val="es-CO"/>
        </w:rPr>
      </w:pPr>
      <w:r w:rsidRPr="00C316F8">
        <w:rPr>
          <w:rFonts w:cstheme="minorHAnsi"/>
          <w:bCs/>
          <w:sz w:val="24"/>
          <w:szCs w:val="24"/>
          <w:lang w:val="es-CO"/>
        </w:rPr>
        <w:t>Esta investigación pone en evidencia que la pandemia de COVID-19 en Colombia no solo fue una crisis sanitaria, sino un revelador de las desigualdades estructurales que históricamente han afectado al país. La mortalidad registrada durante este periodo respondió a patrones profundamente marcados por la pobreza multidimensional, la exclusión territorial, la pertenencia étnica, la edad avanzada y las condiciones institucionales derivadas del conflicto armado. Lejos de ser un fenómeno homogéneo, la pandemia actuó como un catalizador de brechas sociales, económicas y de salud, que ya existían antes de la emergencia y que se profundizaron durante su desarrollo.</w:t>
      </w:r>
    </w:p>
    <w:p w14:paraId="10253089" w14:textId="77777777" w:rsidR="00CE0A3A" w:rsidRPr="00C316F8" w:rsidRDefault="00CE0A3A" w:rsidP="00CE0A3A">
      <w:pPr>
        <w:jc w:val="both"/>
        <w:rPr>
          <w:rFonts w:cstheme="minorHAnsi"/>
          <w:bCs/>
          <w:sz w:val="24"/>
          <w:szCs w:val="24"/>
          <w:lang w:val="es-CO"/>
        </w:rPr>
      </w:pPr>
      <w:r w:rsidRPr="00C316F8">
        <w:rPr>
          <w:rFonts w:cstheme="minorHAnsi"/>
          <w:bCs/>
          <w:sz w:val="24"/>
          <w:szCs w:val="24"/>
          <w:lang w:val="es-CO"/>
        </w:rPr>
        <w:t>Los análisis realizados a partir de registros nacionales, estudios espaciales y cohortes específicas permiten afirmar que la pobreza multidimensional constituye un determinante central de la desigualdad en salud. Municipios con mayores privaciones —según el Índice de Pobreza Multidimensional Colombiano (CMPI)— presentaron tasas de mortalidad significativamente más altas. Las dimensiones del CMPI más asociadas con el aumento del riesgo fueron el bajo logro educativo, la inasistencia escolar, el trabajo infantil, la informalidad laboral, la falta de aseguramiento en salud, el hacinamiento crítico y el acceso limitado a agua potable y saneamiento básico. Estas condiciones, lejos de ser coyunturales, reflejan estructuras sociales históricamente excluyentes que amplificaron sus efectos durante la pandemia.</w:t>
      </w:r>
    </w:p>
    <w:p w14:paraId="59C09CB3" w14:textId="77777777" w:rsidR="00CE0A3A" w:rsidRPr="00C316F8" w:rsidRDefault="00CE0A3A" w:rsidP="00CE0A3A">
      <w:pPr>
        <w:jc w:val="both"/>
        <w:rPr>
          <w:rFonts w:cstheme="minorHAnsi"/>
          <w:bCs/>
          <w:sz w:val="24"/>
          <w:szCs w:val="24"/>
          <w:lang w:val="es-CO"/>
        </w:rPr>
      </w:pPr>
      <w:r w:rsidRPr="00C316F8">
        <w:rPr>
          <w:rFonts w:cstheme="minorHAnsi"/>
          <w:bCs/>
          <w:sz w:val="24"/>
          <w:szCs w:val="24"/>
          <w:lang w:val="es-CO"/>
        </w:rPr>
        <w:t>Asimismo, la pertenencia étnica emergió como un factor clave en la configuración de las vulnerabilidades. Las poblaciones afrocolombianas e indígenas experimentaron una carga desproporcionada de mortalidad frente al COVID-19, incluso al ajustar por edad y sexo. Estas comunidades, localizadas principalmente en zonas rurales y apartadas con baja presencia estatal, han enfrentado históricamente barreras estructurales como la discriminación, la falta de acceso a servicios básicos y la precariedad en los sistemas locales de salud. En este sentido, las regiones priorizadas como ZOMAC y PDET, marcadas por la pobreza, la violencia y la débil infraestructura institucional, registraron los niveles más altos de letalidad, lo que evidencia cómo el legado del conflicto armado sigue determinando la vida y la salud de amplios sectores de la población.</w:t>
      </w:r>
    </w:p>
    <w:p w14:paraId="6DADF57D" w14:textId="77777777" w:rsidR="00CE0A3A" w:rsidRPr="00C316F8" w:rsidRDefault="00CE0A3A" w:rsidP="00CE0A3A">
      <w:pPr>
        <w:jc w:val="both"/>
        <w:rPr>
          <w:rFonts w:cstheme="minorHAnsi"/>
          <w:bCs/>
          <w:sz w:val="24"/>
          <w:szCs w:val="24"/>
          <w:lang w:val="es-CO"/>
        </w:rPr>
      </w:pPr>
      <w:r w:rsidRPr="00C316F8">
        <w:rPr>
          <w:rFonts w:cstheme="minorHAnsi"/>
          <w:bCs/>
          <w:sz w:val="24"/>
          <w:szCs w:val="24"/>
          <w:lang w:val="es-CO"/>
        </w:rPr>
        <w:t>De manera complementaria, el análisis de la población centenaria aportó una mirada singular sobre el envejecimiento en contextos de alta desigualdad. Aunque se observó una tasa de mortalidad elevada (37,1 %), especialmente en hombres, no se identificaron diferencias significativas en la supervivencia entre los distintos subgrupos de edad avanzada. Sin embargo, la variabilidad en los tiempos de recuperación y la concentración territorial de los casos resaltan la necesidad de establecer políticas públicas específicas dirigidas a esta población. La longevidad en condiciones precarias requiere estrategias de atención médica diferenciada, redes de cuidado comunitario y programas de envejecimiento saludable con enfoque territorial.</w:t>
      </w:r>
    </w:p>
    <w:p w14:paraId="7E3A8EF0" w14:textId="77777777" w:rsidR="00CE0A3A" w:rsidRPr="00C316F8" w:rsidRDefault="00CE0A3A" w:rsidP="00CE0A3A">
      <w:pPr>
        <w:jc w:val="both"/>
        <w:rPr>
          <w:rFonts w:cstheme="minorHAnsi"/>
          <w:bCs/>
          <w:sz w:val="24"/>
          <w:szCs w:val="24"/>
          <w:lang w:val="es-CO"/>
        </w:rPr>
      </w:pPr>
      <w:r w:rsidRPr="00C316F8">
        <w:rPr>
          <w:rFonts w:cstheme="minorHAnsi"/>
          <w:bCs/>
          <w:sz w:val="24"/>
          <w:szCs w:val="24"/>
          <w:lang w:val="es-CO"/>
        </w:rPr>
        <w:lastRenderedPageBreak/>
        <w:t>Los resultados integrados de los tres estudios confirman que la pandemia amplificó las desigualdades estructurales y que la mortalidad por COVID-19 en Colombia estuvo determinada por la interacción de factores sociales, económicos, étnicos y territoriales. La evidencia demuestra que las poblaciones afrocolombianas e indígenas, los municipios afectados por el conflicto armado y las zonas con mayor pobreza multidimensional enfrentaron mayores riesgos de mortalidad, incluso después de controlar por variables demográficas. Asimismo, el estudio de los centenarios reafirma la necesidad de proteger a las poblaciones envejecidas mediante políticas que fortalezcan la atención primaria, promuevan la autonomía funcional y garanticen la dignidad en la vejez. En conjunto, los hallazgos señalan que la respuesta a emergencias sanitarias debe integrar un enfoque diferencial, territorial e intercultural, capaz de reconocer y corregir los patrones históricos de exclusión que condicionan los desenlaces en salud.</w:t>
      </w:r>
    </w:p>
    <w:p w14:paraId="0A75DA75" w14:textId="5E9BDDAB" w:rsidR="00CE0A3A" w:rsidRPr="00C316F8" w:rsidRDefault="00BE36C7" w:rsidP="00CE0A3A">
      <w:pPr>
        <w:jc w:val="both"/>
        <w:rPr>
          <w:rFonts w:cstheme="minorHAnsi"/>
          <w:bCs/>
          <w:sz w:val="24"/>
          <w:szCs w:val="24"/>
          <w:lang w:val="es-CO"/>
        </w:rPr>
      </w:pPr>
      <w:r w:rsidRPr="00C316F8">
        <w:rPr>
          <w:rFonts w:cstheme="minorHAnsi"/>
          <w:bCs/>
          <w:sz w:val="24"/>
          <w:szCs w:val="24"/>
          <w:lang w:val="es-CO"/>
        </w:rPr>
        <w:t>A partir de los tres estudios que conforman esta tesis —complementarios en escala y enfoque, aunque metodológicamente autónomos— se concluye que los determinantes sociales de la salud —entendidos como las condiciones en las que las personas nacen, crecen, viven, trabajan y envejecen— deben ocupar un lugar prioritario en la formulación de políticas públicas</w:t>
      </w:r>
      <w:r w:rsidR="00CE0A3A" w:rsidRPr="00C316F8">
        <w:rPr>
          <w:rFonts w:cstheme="minorHAnsi"/>
          <w:bCs/>
          <w:sz w:val="24"/>
          <w:szCs w:val="24"/>
          <w:lang w:val="es-CO"/>
        </w:rPr>
        <w:t>.</w:t>
      </w:r>
    </w:p>
    <w:p w14:paraId="53AE8239" w14:textId="77777777" w:rsidR="00CE0A3A" w:rsidRPr="00C316F8" w:rsidRDefault="00CE0A3A" w:rsidP="00CE0A3A">
      <w:pPr>
        <w:jc w:val="both"/>
        <w:rPr>
          <w:rFonts w:cstheme="minorHAnsi"/>
          <w:bCs/>
          <w:sz w:val="24"/>
          <w:szCs w:val="24"/>
          <w:lang w:val="es-CO"/>
        </w:rPr>
      </w:pPr>
      <w:r w:rsidRPr="00C316F8">
        <w:rPr>
          <w:rFonts w:cstheme="minorHAnsi"/>
          <w:bCs/>
          <w:sz w:val="24"/>
          <w:szCs w:val="24"/>
          <w:lang w:val="es-CO"/>
        </w:rPr>
        <w:t>La evidencia aquí presentada también pone de manifiesto la urgencia de una transformación estructural del sistema de salud colombiano. Esta transformación debe orientarse hacia la equidad, priorizar los territorios históricamente excluidos y garantizar una atención efectiva, continua y pertinente en zonas rurales y dispersas. Se requieren políticas públicas diferenciales, que reconozcan las particularidades de los grupos étnicos y de las regiones afectadas por el conflicto armado, y que aseguren el acceso universal a servicios esenciales como salud, agua potable, saneamiento, educación y vivienda digna.</w:t>
      </w:r>
    </w:p>
    <w:p w14:paraId="252DA482" w14:textId="77777777" w:rsidR="00CE0A3A" w:rsidRPr="00C316F8" w:rsidRDefault="00CE0A3A" w:rsidP="00CE0A3A">
      <w:pPr>
        <w:jc w:val="both"/>
        <w:rPr>
          <w:rFonts w:cstheme="minorHAnsi"/>
          <w:bCs/>
          <w:sz w:val="24"/>
          <w:szCs w:val="24"/>
          <w:lang w:val="es-CO"/>
        </w:rPr>
      </w:pPr>
      <w:r w:rsidRPr="00C316F8">
        <w:rPr>
          <w:rFonts w:cstheme="minorHAnsi"/>
          <w:bCs/>
          <w:sz w:val="24"/>
          <w:szCs w:val="24"/>
          <w:lang w:val="es-CO"/>
        </w:rPr>
        <w:t>En síntesis, esta tesis reafirma que alcanzar la equidad en salud en Colombia exige mucho más que garantizar el acceso a los servicios médicos. Implica abordar las causas estructurales de la desigualdad: la distribución inequitativa de los recursos, la invisibilización de comunidades marginadas, la fragilidad institucional de los territorios y la ausencia de una planificación social con justicia. Las políticas públicas que se formulen a partir de estos hallazgos deben ser participativas, contextualizadas y sostenibles en el tiempo, para evitar la repetición de errores del pasado y construir un modelo de salud pública verdaderamente justo, resiliente e inclusivo.</w:t>
      </w:r>
    </w:p>
    <w:p w14:paraId="68067645" w14:textId="00E02827" w:rsidR="004C4424" w:rsidRPr="00C316F8" w:rsidRDefault="00CE0A3A" w:rsidP="00CE0A3A">
      <w:pPr>
        <w:jc w:val="both"/>
        <w:rPr>
          <w:rFonts w:cstheme="minorHAnsi"/>
          <w:bCs/>
          <w:sz w:val="24"/>
          <w:szCs w:val="24"/>
          <w:lang w:val="es-CO"/>
        </w:rPr>
      </w:pPr>
      <w:r w:rsidRPr="00C316F8">
        <w:rPr>
          <w:rFonts w:cstheme="minorHAnsi"/>
          <w:bCs/>
          <w:sz w:val="24"/>
          <w:szCs w:val="24"/>
          <w:lang w:val="es-CO"/>
        </w:rPr>
        <w:t xml:space="preserve">Solo mediante una acción estatal articulada, multisectorial y basada en evidencia será posible mitigar el impacto de futuras crisis, mejorar el bienestar de las poblaciones históricamente excluidas y fortalecer el tejido social de un país tan diverso como desigual. Esta tesis aporta elementos concretos para ese propósito y constituye una contribución al debate sobre la necesidad de avanzar hacia una Colombia más equitativa, con políticas </w:t>
      </w:r>
      <w:r w:rsidRPr="00C316F8">
        <w:rPr>
          <w:rFonts w:cstheme="minorHAnsi"/>
          <w:bCs/>
          <w:sz w:val="24"/>
          <w:szCs w:val="24"/>
          <w:lang w:val="es-CO"/>
        </w:rPr>
        <w:lastRenderedPageBreak/>
        <w:t>públicas centradas en la dignidad humana y en la garantía efectiva de los derechos fundamentales.</w:t>
      </w:r>
      <w:r w:rsidR="004C4424" w:rsidRPr="00C316F8">
        <w:rPr>
          <w:rFonts w:cstheme="minorHAnsi"/>
          <w:bCs/>
          <w:sz w:val="24"/>
          <w:szCs w:val="24"/>
          <w:lang w:val="es-CO"/>
        </w:rPr>
        <w:br w:type="page"/>
      </w:r>
    </w:p>
    <w:p w14:paraId="27145B3C" w14:textId="3E38262E" w:rsidR="00DA16F2" w:rsidRPr="00C316F8" w:rsidRDefault="005C1BC5" w:rsidP="004D060F">
      <w:pPr>
        <w:pStyle w:val="Ttulo1"/>
        <w:numPr>
          <w:ilvl w:val="0"/>
          <w:numId w:val="2"/>
        </w:numPr>
        <w:rPr>
          <w:lang w:val="es-CO"/>
        </w:rPr>
      </w:pPr>
      <w:bookmarkStart w:id="95" w:name="_Toc229834684"/>
      <w:r w:rsidRPr="00C316F8">
        <w:rPr>
          <w:lang w:val="es-CO"/>
        </w:rPr>
        <w:lastRenderedPageBreak/>
        <w:t>PROPUESTAS DE POLÍTICA PÚBLICA CON ENFOQUE DIFERENCIAL, TERRITORIAL E INTERSECCIONAL</w:t>
      </w:r>
      <w:bookmarkEnd w:id="95"/>
    </w:p>
    <w:p w14:paraId="3A1EA951" w14:textId="77777777" w:rsidR="005C1BC5" w:rsidRPr="00C316F8" w:rsidRDefault="005C1BC5" w:rsidP="00DA16F2">
      <w:pPr>
        <w:jc w:val="both"/>
        <w:rPr>
          <w:rFonts w:cstheme="minorHAnsi"/>
          <w:sz w:val="24"/>
          <w:szCs w:val="24"/>
          <w:lang w:val="es-CO"/>
        </w:rPr>
      </w:pPr>
    </w:p>
    <w:p w14:paraId="52FCC54B" w14:textId="075DF222" w:rsidR="00DA16F2" w:rsidRPr="00C316F8" w:rsidRDefault="00DA16F2" w:rsidP="00DA16F2">
      <w:pPr>
        <w:jc w:val="both"/>
        <w:rPr>
          <w:rFonts w:cstheme="minorHAnsi"/>
          <w:sz w:val="24"/>
          <w:szCs w:val="24"/>
          <w:lang w:val="es-CO"/>
        </w:rPr>
      </w:pPr>
      <w:r w:rsidRPr="00C316F8">
        <w:rPr>
          <w:rFonts w:cstheme="minorHAnsi"/>
          <w:sz w:val="24"/>
          <w:szCs w:val="24"/>
          <w:lang w:val="es-CO"/>
        </w:rPr>
        <w:t>Este capítulo presenta una serie de propuestas orientadas a fortalecer la equidad, transformar el sistema de salud y reducir las brechas sociales y territoriales, basadas en la evidencia empírica recopilada en la investigación.</w:t>
      </w:r>
    </w:p>
    <w:p w14:paraId="46E2E882" w14:textId="0218ED20" w:rsidR="00DA16F2" w:rsidRPr="00C316F8" w:rsidRDefault="00DA16F2" w:rsidP="00DA16F2">
      <w:pPr>
        <w:jc w:val="both"/>
        <w:rPr>
          <w:rFonts w:cstheme="minorHAnsi"/>
          <w:sz w:val="24"/>
          <w:szCs w:val="24"/>
          <w:lang w:val="es-CO"/>
        </w:rPr>
      </w:pPr>
      <w:r w:rsidRPr="00C316F8">
        <w:rPr>
          <w:rFonts w:cstheme="minorHAnsi"/>
          <w:sz w:val="24"/>
          <w:szCs w:val="24"/>
          <w:lang w:val="es-CO"/>
        </w:rPr>
        <w:t>El CMPI, al integrar variables como educación, infancia, empleo, salud, servicios públicos y condiciones de vivienda, permite identificar de manera precisa los territorios con mayores privaciones acumuladas. La pandemia reveló cómo estas privaciones se agrupan geográficamente, afectando desproporcionadamente a comunidades vulnerables. Las propuestas que se presentan a continuación buscan responder a estas realidades estructurales y construir capacidades institucionales y comunitarias que garanticen un sistema de salud más justo, resiliente y preparado para futuras emergencias.</w:t>
      </w:r>
    </w:p>
    <w:p w14:paraId="09FEAA8E" w14:textId="77777777" w:rsidR="00DA16F2" w:rsidRPr="00C316F8" w:rsidRDefault="00DA16F2" w:rsidP="00DA16F2">
      <w:pPr>
        <w:jc w:val="both"/>
        <w:rPr>
          <w:rFonts w:cstheme="minorHAnsi"/>
          <w:sz w:val="24"/>
          <w:szCs w:val="24"/>
          <w:lang w:val="es-CO"/>
        </w:rPr>
      </w:pPr>
    </w:p>
    <w:p w14:paraId="04158DBA" w14:textId="2E86DF23" w:rsidR="00210848" w:rsidRPr="00C316F8" w:rsidRDefault="00DA16F2" w:rsidP="00B96D9D">
      <w:pPr>
        <w:pStyle w:val="Ttulo1"/>
        <w:numPr>
          <w:ilvl w:val="1"/>
          <w:numId w:val="7"/>
        </w:numPr>
        <w:rPr>
          <w:lang w:val="es-CO"/>
        </w:rPr>
      </w:pPr>
      <w:bookmarkStart w:id="96" w:name="_Toc229834685"/>
      <w:r w:rsidRPr="00C316F8">
        <w:rPr>
          <w:lang w:val="es-CO"/>
        </w:rPr>
        <w:t>Lineamientos para la transformación estructural del sistema de salud</w:t>
      </w:r>
      <w:bookmarkEnd w:id="96"/>
    </w:p>
    <w:p w14:paraId="63E44E12" w14:textId="77777777" w:rsidR="00D557D6" w:rsidRPr="00C316F8" w:rsidRDefault="00D557D6" w:rsidP="00D557D6">
      <w:pPr>
        <w:rPr>
          <w:lang w:val="es-CO"/>
        </w:rPr>
      </w:pPr>
    </w:p>
    <w:p w14:paraId="7114DEB8" w14:textId="1A7B14E9" w:rsidR="00D557D6" w:rsidRPr="00C316F8" w:rsidRDefault="00D557D6" w:rsidP="00D557D6">
      <w:pPr>
        <w:jc w:val="both"/>
        <w:rPr>
          <w:lang w:val="es-CO"/>
        </w:rPr>
      </w:pPr>
      <w:r w:rsidRPr="00C316F8">
        <w:rPr>
          <w:lang w:val="es-CO"/>
        </w:rPr>
        <w:t>Las propuestas que se presentan a continuación parten del reconocimiento de que los recursos fiscales del Estado colombiano son limitados y que la universalidad en salud es un horizonte de política pública que requiere priorización, gradualidad y focalización territorial. No se trata de garantizar todo a todos de manera simultánea, sino de reasignar progresivamente los recursos existentes hacia los territorios y poblaciones con mayores brechas, utilizando el CMPI como instrumento de focalización basado en evidencia.</w:t>
      </w:r>
    </w:p>
    <w:p w14:paraId="36E4E08B" w14:textId="77777777" w:rsidR="00DA16F2" w:rsidRPr="00C316F8" w:rsidRDefault="00DA16F2" w:rsidP="00A56FEC">
      <w:pPr>
        <w:jc w:val="both"/>
        <w:rPr>
          <w:rFonts w:cstheme="minorHAnsi"/>
          <w:sz w:val="24"/>
          <w:szCs w:val="24"/>
          <w:lang w:val="es-CO"/>
        </w:rPr>
      </w:pPr>
      <w:r w:rsidRPr="00C316F8">
        <w:rPr>
          <w:rFonts w:cstheme="minorHAnsi"/>
          <w:sz w:val="24"/>
          <w:szCs w:val="24"/>
          <w:lang w:val="es-CO"/>
        </w:rPr>
        <w:t>Los municipios con mayores tasas de mortalidad durante la pandemia compartían características como pobreza estructural, limitada infraestructura sanitaria y baja capacidad institucional. Las categorías territoriales 5 y 6, así como las regiones ZOMAC y PDET, concentraron las principales brechas. Para enfrentar estas disparidades, se propone:</w:t>
      </w:r>
    </w:p>
    <w:p w14:paraId="57289DDE" w14:textId="77777777" w:rsidR="007D47CD" w:rsidRPr="00C316F8" w:rsidRDefault="00A06313" w:rsidP="00675A01">
      <w:pPr>
        <w:pStyle w:val="Prrafodelista"/>
        <w:numPr>
          <w:ilvl w:val="0"/>
          <w:numId w:val="24"/>
        </w:numPr>
        <w:jc w:val="both"/>
        <w:rPr>
          <w:rFonts w:cstheme="minorHAnsi"/>
          <w:sz w:val="24"/>
          <w:szCs w:val="24"/>
          <w:lang w:val="es-CO"/>
        </w:rPr>
      </w:pPr>
      <w:r w:rsidRPr="00C316F8">
        <w:rPr>
          <w:rFonts w:cstheme="minorHAnsi"/>
          <w:sz w:val="24"/>
          <w:szCs w:val="24"/>
          <w:lang w:val="es-CO"/>
        </w:rPr>
        <w:t>Reasignar el gasto público en salud mediante criterios de equidad territorial, priorizando los municipios de categorías 5 y 6 y las regiones ZOMAC/PDET, que concentran las mayores privaciones según el CMPI y presentaron las tasas más altas de mortalidad por COVID-19. Esta reasignación implica fortalecer el primer nivel de atención con infraestructura física, personal de salud y tecnologías adaptadas a contextos rurales y dispersos, reconociendo que la universalidad no es un estado que se declara sino el resultado acumulativo de inversiones sostenidas en territorios históricamente excluidos.</w:t>
      </w:r>
    </w:p>
    <w:p w14:paraId="35BA4AB5" w14:textId="44A3B376" w:rsidR="00DA16F2" w:rsidRPr="00C316F8" w:rsidRDefault="00DA16F2" w:rsidP="00675A01">
      <w:pPr>
        <w:pStyle w:val="Prrafodelista"/>
        <w:numPr>
          <w:ilvl w:val="0"/>
          <w:numId w:val="24"/>
        </w:numPr>
        <w:jc w:val="both"/>
        <w:rPr>
          <w:rFonts w:cstheme="minorHAnsi"/>
          <w:sz w:val="24"/>
          <w:szCs w:val="24"/>
          <w:lang w:val="es-CO"/>
        </w:rPr>
      </w:pPr>
      <w:r w:rsidRPr="00C316F8">
        <w:rPr>
          <w:rFonts w:cstheme="minorHAnsi"/>
          <w:sz w:val="24"/>
          <w:szCs w:val="24"/>
          <w:lang w:val="es-CO"/>
        </w:rPr>
        <w:t>Reestructurar el sistema de salud con base en los determinantes sociales, priorizando territorios con mayores privaciones identificadas por el CMPI.</w:t>
      </w:r>
    </w:p>
    <w:p w14:paraId="56EC77B9" w14:textId="77777777" w:rsidR="00DA16F2" w:rsidRPr="00C316F8" w:rsidRDefault="00DA16F2" w:rsidP="00675A01">
      <w:pPr>
        <w:pStyle w:val="Prrafodelista"/>
        <w:numPr>
          <w:ilvl w:val="0"/>
          <w:numId w:val="24"/>
        </w:numPr>
        <w:jc w:val="both"/>
        <w:rPr>
          <w:rFonts w:cstheme="minorHAnsi"/>
          <w:sz w:val="24"/>
          <w:szCs w:val="24"/>
          <w:lang w:val="es-CO"/>
        </w:rPr>
      </w:pPr>
      <w:r w:rsidRPr="00C316F8">
        <w:rPr>
          <w:rFonts w:cstheme="minorHAnsi"/>
          <w:sz w:val="24"/>
          <w:szCs w:val="24"/>
          <w:lang w:val="es-CO"/>
        </w:rPr>
        <w:lastRenderedPageBreak/>
        <w:t>Fortalecer el primer nivel de atención mediante redes de atención primaria adaptadas a contextos geográficos y culturales.</w:t>
      </w:r>
    </w:p>
    <w:p w14:paraId="1E5B6EEB" w14:textId="77777777" w:rsidR="00DA16F2" w:rsidRPr="00C316F8" w:rsidRDefault="00DA16F2" w:rsidP="00675A01">
      <w:pPr>
        <w:pStyle w:val="Prrafodelista"/>
        <w:numPr>
          <w:ilvl w:val="0"/>
          <w:numId w:val="24"/>
        </w:numPr>
        <w:jc w:val="both"/>
        <w:rPr>
          <w:rFonts w:cstheme="minorHAnsi"/>
          <w:sz w:val="24"/>
          <w:szCs w:val="24"/>
          <w:lang w:val="es-CO"/>
        </w:rPr>
      </w:pPr>
      <w:r w:rsidRPr="00C316F8">
        <w:rPr>
          <w:rFonts w:cstheme="minorHAnsi"/>
          <w:sz w:val="24"/>
          <w:szCs w:val="24"/>
          <w:lang w:val="es-CO"/>
        </w:rPr>
        <w:t>Establecer mecanismos de vigilancia epidemiológica comunitaria con participación de promotores de salud locales.</w:t>
      </w:r>
    </w:p>
    <w:p w14:paraId="01398C08" w14:textId="77777777" w:rsidR="00DA16F2" w:rsidRPr="00C316F8" w:rsidRDefault="00DA16F2" w:rsidP="00675A01">
      <w:pPr>
        <w:pStyle w:val="Prrafodelista"/>
        <w:numPr>
          <w:ilvl w:val="0"/>
          <w:numId w:val="24"/>
        </w:numPr>
        <w:jc w:val="both"/>
        <w:rPr>
          <w:rFonts w:cstheme="minorHAnsi"/>
          <w:sz w:val="24"/>
          <w:szCs w:val="24"/>
          <w:lang w:val="es-CO"/>
        </w:rPr>
      </w:pPr>
      <w:r w:rsidRPr="00C316F8">
        <w:rPr>
          <w:rFonts w:cstheme="minorHAnsi"/>
          <w:sz w:val="24"/>
          <w:szCs w:val="24"/>
          <w:lang w:val="es-CO"/>
        </w:rPr>
        <w:t>Crear modelos diferenciados de atención a personas mayores, como lo sugieren los hallazgos sobre la población centenaria.</w:t>
      </w:r>
    </w:p>
    <w:p w14:paraId="677D8843" w14:textId="430692AB" w:rsidR="00DA16F2" w:rsidRPr="00C316F8" w:rsidRDefault="00DA16F2" w:rsidP="00675A01">
      <w:pPr>
        <w:pStyle w:val="Prrafodelista"/>
        <w:numPr>
          <w:ilvl w:val="0"/>
          <w:numId w:val="24"/>
        </w:numPr>
        <w:jc w:val="both"/>
        <w:rPr>
          <w:rFonts w:cstheme="minorHAnsi"/>
          <w:sz w:val="24"/>
          <w:szCs w:val="24"/>
          <w:lang w:val="es-CO"/>
        </w:rPr>
      </w:pPr>
      <w:r w:rsidRPr="00C316F8">
        <w:rPr>
          <w:rFonts w:cstheme="minorHAnsi"/>
          <w:sz w:val="24"/>
          <w:szCs w:val="24"/>
          <w:lang w:val="es-CO"/>
        </w:rPr>
        <w:t>Incorporar tecnologías digitales</w:t>
      </w:r>
      <w:r w:rsidR="009606F4" w:rsidRPr="00C316F8">
        <w:rPr>
          <w:rFonts w:cstheme="minorHAnsi"/>
          <w:sz w:val="24"/>
          <w:szCs w:val="24"/>
          <w:lang w:val="es-CO"/>
        </w:rPr>
        <w:t>, telemedicina</w:t>
      </w:r>
      <w:r w:rsidRPr="00C316F8">
        <w:rPr>
          <w:rFonts w:cstheme="minorHAnsi"/>
          <w:sz w:val="24"/>
          <w:szCs w:val="24"/>
          <w:lang w:val="es-CO"/>
        </w:rPr>
        <w:t xml:space="preserve"> y estrategias móviles para garantizar continuidad en la atención en zonas remotas.</w:t>
      </w:r>
    </w:p>
    <w:p w14:paraId="55E15F3F" w14:textId="77777777" w:rsidR="00DA16F2" w:rsidRPr="00C316F8" w:rsidRDefault="00DA16F2" w:rsidP="00DA16F2">
      <w:pPr>
        <w:jc w:val="both"/>
        <w:rPr>
          <w:rFonts w:cstheme="minorHAnsi"/>
          <w:sz w:val="24"/>
          <w:szCs w:val="24"/>
          <w:lang w:val="es-CO"/>
        </w:rPr>
      </w:pPr>
    </w:p>
    <w:p w14:paraId="420FE16F" w14:textId="6CC00B8B" w:rsidR="00DA16F2" w:rsidRPr="00C316F8" w:rsidRDefault="00DA16F2" w:rsidP="00B96D9D">
      <w:pPr>
        <w:pStyle w:val="Ttulo1"/>
        <w:numPr>
          <w:ilvl w:val="1"/>
          <w:numId w:val="7"/>
        </w:numPr>
        <w:rPr>
          <w:lang w:val="es-CO"/>
        </w:rPr>
      </w:pPr>
      <w:bookmarkStart w:id="97" w:name="_Toc229834686"/>
      <w:r w:rsidRPr="00C316F8">
        <w:rPr>
          <w:lang w:val="es-CO"/>
        </w:rPr>
        <w:t>Estrategias para poblaciones étnicas, envejecidas y rurales</w:t>
      </w:r>
      <w:bookmarkEnd w:id="97"/>
    </w:p>
    <w:p w14:paraId="4021D39D" w14:textId="77777777" w:rsidR="006B4393" w:rsidRPr="00C316F8" w:rsidRDefault="006B4393" w:rsidP="006B4393">
      <w:pPr>
        <w:pStyle w:val="Prrafodelista"/>
        <w:ind w:left="420"/>
        <w:rPr>
          <w:lang w:val="es-CO"/>
        </w:rPr>
      </w:pPr>
    </w:p>
    <w:p w14:paraId="7648283A" w14:textId="77777777" w:rsidR="00DA16F2" w:rsidRPr="00C316F8" w:rsidRDefault="00DA16F2" w:rsidP="00DA16F2">
      <w:pPr>
        <w:jc w:val="both"/>
        <w:rPr>
          <w:rFonts w:cstheme="minorHAnsi"/>
          <w:sz w:val="24"/>
          <w:szCs w:val="24"/>
          <w:lang w:val="es-CO"/>
        </w:rPr>
      </w:pPr>
      <w:r w:rsidRPr="00C316F8">
        <w:rPr>
          <w:rFonts w:cstheme="minorHAnsi"/>
          <w:sz w:val="24"/>
          <w:szCs w:val="24"/>
          <w:lang w:val="es-CO"/>
        </w:rPr>
        <w:t>Los datos revelan que las poblaciones afrocolombianas, indígenas, rurales y centenarias presentan las mayores tasas de mortalidad y privación. Estas comunidades enfrentan múltiples barreras de acceso a servicios esenciales. Por ello, se sugiere:</w:t>
      </w:r>
    </w:p>
    <w:p w14:paraId="24E9F590" w14:textId="77777777" w:rsidR="00DA16F2" w:rsidRPr="00C316F8" w:rsidRDefault="00DA16F2" w:rsidP="00366904">
      <w:pPr>
        <w:pStyle w:val="Prrafodelista"/>
        <w:numPr>
          <w:ilvl w:val="0"/>
          <w:numId w:val="28"/>
        </w:numPr>
        <w:jc w:val="both"/>
        <w:rPr>
          <w:rFonts w:cstheme="minorHAnsi"/>
          <w:sz w:val="24"/>
          <w:szCs w:val="24"/>
          <w:lang w:val="es-CO"/>
        </w:rPr>
      </w:pPr>
      <w:r w:rsidRPr="00C316F8">
        <w:rPr>
          <w:rFonts w:cstheme="minorHAnsi"/>
          <w:sz w:val="24"/>
          <w:szCs w:val="24"/>
          <w:lang w:val="es-CO"/>
        </w:rPr>
        <w:t>Implementar rutas integrales de atención con enfoque étnico, cultural y territorial, reconociendo saberes ancestrales y sistemas propios de salud.</w:t>
      </w:r>
    </w:p>
    <w:p w14:paraId="108CBE99" w14:textId="0FD04B81" w:rsidR="00DA16F2" w:rsidRPr="00C316F8" w:rsidRDefault="00A1690E" w:rsidP="00366904">
      <w:pPr>
        <w:pStyle w:val="Prrafodelista"/>
        <w:numPr>
          <w:ilvl w:val="0"/>
          <w:numId w:val="28"/>
        </w:numPr>
        <w:jc w:val="both"/>
        <w:rPr>
          <w:rFonts w:cstheme="minorHAnsi"/>
          <w:sz w:val="24"/>
          <w:szCs w:val="24"/>
          <w:lang w:val="es-CO"/>
        </w:rPr>
      </w:pPr>
      <w:r w:rsidRPr="00C316F8">
        <w:rPr>
          <w:rFonts w:cstheme="minorHAnsi"/>
          <w:sz w:val="24"/>
          <w:szCs w:val="24"/>
          <w:lang w:val="es-CO"/>
        </w:rPr>
        <w:t>P</w:t>
      </w:r>
      <w:r w:rsidR="00DA16F2" w:rsidRPr="00C316F8">
        <w:rPr>
          <w:rFonts w:cstheme="minorHAnsi"/>
          <w:sz w:val="24"/>
          <w:szCs w:val="24"/>
          <w:lang w:val="es-CO"/>
        </w:rPr>
        <w:t>riorizar inversiones en infraestructura básica (acueducto, saneamiento, salud) en territorios históricamente excluidos.</w:t>
      </w:r>
    </w:p>
    <w:p w14:paraId="69D31A70" w14:textId="77777777" w:rsidR="00DA16F2" w:rsidRPr="00C316F8" w:rsidRDefault="00DA16F2" w:rsidP="00366904">
      <w:pPr>
        <w:pStyle w:val="Prrafodelista"/>
        <w:numPr>
          <w:ilvl w:val="0"/>
          <w:numId w:val="28"/>
        </w:numPr>
        <w:jc w:val="both"/>
        <w:rPr>
          <w:rFonts w:cstheme="minorHAnsi"/>
          <w:sz w:val="24"/>
          <w:szCs w:val="24"/>
          <w:lang w:val="es-CO"/>
        </w:rPr>
      </w:pPr>
      <w:r w:rsidRPr="00C316F8">
        <w:rPr>
          <w:rFonts w:cstheme="minorHAnsi"/>
          <w:sz w:val="24"/>
          <w:szCs w:val="24"/>
          <w:lang w:val="es-CO"/>
        </w:rPr>
        <w:t>Desarrollar programas de apoyo comunitario al cuidado de personas mayores y dependientes, reconociendo el rol clave de cuidadores familiares.</w:t>
      </w:r>
    </w:p>
    <w:p w14:paraId="35496088" w14:textId="77777777" w:rsidR="00DA16F2" w:rsidRPr="00C316F8" w:rsidRDefault="00DA16F2" w:rsidP="00366904">
      <w:pPr>
        <w:pStyle w:val="Prrafodelista"/>
        <w:numPr>
          <w:ilvl w:val="0"/>
          <w:numId w:val="28"/>
        </w:numPr>
        <w:jc w:val="both"/>
        <w:rPr>
          <w:rFonts w:cstheme="minorHAnsi"/>
          <w:sz w:val="24"/>
          <w:szCs w:val="24"/>
          <w:lang w:val="es-CO"/>
        </w:rPr>
      </w:pPr>
      <w:r w:rsidRPr="00C316F8">
        <w:rPr>
          <w:rFonts w:cstheme="minorHAnsi"/>
          <w:sz w:val="24"/>
          <w:szCs w:val="24"/>
          <w:lang w:val="es-CO"/>
        </w:rPr>
        <w:t>Fortalecer la formación y contratación de talento humano en salud proveniente de las mismas comunidades.</w:t>
      </w:r>
    </w:p>
    <w:p w14:paraId="0892041D" w14:textId="77777777" w:rsidR="00DA16F2" w:rsidRPr="00C316F8" w:rsidRDefault="00DA16F2" w:rsidP="00366904">
      <w:pPr>
        <w:pStyle w:val="Prrafodelista"/>
        <w:numPr>
          <w:ilvl w:val="0"/>
          <w:numId w:val="28"/>
        </w:numPr>
        <w:jc w:val="both"/>
        <w:rPr>
          <w:rFonts w:cstheme="minorHAnsi"/>
          <w:sz w:val="24"/>
          <w:szCs w:val="24"/>
          <w:lang w:val="es-CO"/>
        </w:rPr>
      </w:pPr>
      <w:r w:rsidRPr="00C316F8">
        <w:rPr>
          <w:rFonts w:cstheme="minorHAnsi"/>
          <w:sz w:val="24"/>
          <w:szCs w:val="24"/>
          <w:lang w:val="es-CO"/>
        </w:rPr>
        <w:t>Promover estrategias educativas bilingües y contextualizadas que reduzcan el rezago escolar en zonas rurales y étnicas.</w:t>
      </w:r>
    </w:p>
    <w:p w14:paraId="7A9190EA" w14:textId="55F279C2" w:rsidR="00DA16F2" w:rsidRPr="00C316F8" w:rsidRDefault="00A1690E" w:rsidP="00A1690E">
      <w:pPr>
        <w:pStyle w:val="Ttulo1"/>
        <w:rPr>
          <w:lang w:val="es-CO"/>
        </w:rPr>
      </w:pPr>
      <w:bookmarkStart w:id="98" w:name="_Toc229834687"/>
      <w:r w:rsidRPr="00C316F8">
        <w:rPr>
          <w:lang w:val="es-CO"/>
        </w:rPr>
        <w:t>10.3</w:t>
      </w:r>
      <w:r w:rsidR="00DA16F2" w:rsidRPr="00C316F8">
        <w:rPr>
          <w:lang w:val="es-CO"/>
        </w:rPr>
        <w:t>. Fortalecimiento del enfoque interseccional en emergencias sanitarias</w:t>
      </w:r>
      <w:bookmarkEnd w:id="98"/>
    </w:p>
    <w:p w14:paraId="2A649B21" w14:textId="77777777" w:rsidR="00A1690E" w:rsidRPr="00C316F8" w:rsidRDefault="00A1690E" w:rsidP="00A1690E">
      <w:pPr>
        <w:rPr>
          <w:lang w:val="es-CO"/>
        </w:rPr>
      </w:pPr>
    </w:p>
    <w:p w14:paraId="3D716482" w14:textId="77777777" w:rsidR="00DA16F2" w:rsidRPr="00C316F8" w:rsidRDefault="00DA16F2" w:rsidP="00DA16F2">
      <w:pPr>
        <w:jc w:val="both"/>
        <w:rPr>
          <w:rFonts w:cstheme="minorHAnsi"/>
          <w:sz w:val="24"/>
          <w:szCs w:val="24"/>
          <w:lang w:val="es-CO"/>
        </w:rPr>
      </w:pPr>
      <w:r w:rsidRPr="00C316F8">
        <w:rPr>
          <w:rFonts w:cstheme="minorHAnsi"/>
          <w:sz w:val="24"/>
          <w:szCs w:val="24"/>
          <w:lang w:val="es-CO"/>
        </w:rPr>
        <w:t>La pandemia evidenció que la exclusión social es multidimensional. La pobreza, el género, la etnicidad, la edad, la discapacidad y la ruralidad se combinan para generar condiciones de vulnerabilidad acumulada. Frente a esto, se propone:</w:t>
      </w:r>
    </w:p>
    <w:p w14:paraId="5205D155" w14:textId="77777777" w:rsidR="00DA16F2" w:rsidRPr="00C316F8" w:rsidRDefault="00DA16F2" w:rsidP="00390148">
      <w:pPr>
        <w:pStyle w:val="Prrafodelista"/>
        <w:numPr>
          <w:ilvl w:val="0"/>
          <w:numId w:val="29"/>
        </w:numPr>
        <w:jc w:val="both"/>
        <w:rPr>
          <w:rFonts w:cstheme="minorHAnsi"/>
          <w:sz w:val="24"/>
          <w:szCs w:val="24"/>
          <w:lang w:val="es-CO"/>
        </w:rPr>
      </w:pPr>
      <w:r w:rsidRPr="00C316F8">
        <w:rPr>
          <w:rFonts w:cstheme="minorHAnsi"/>
          <w:sz w:val="24"/>
          <w:szCs w:val="24"/>
          <w:lang w:val="es-CO"/>
        </w:rPr>
        <w:t>Incluir el análisis interseccional en los sistemas de información en salud y en la planificación de políticas públicas.</w:t>
      </w:r>
    </w:p>
    <w:p w14:paraId="60B2BA38" w14:textId="77777777" w:rsidR="00DA16F2" w:rsidRPr="00C316F8" w:rsidRDefault="00DA16F2" w:rsidP="00390148">
      <w:pPr>
        <w:pStyle w:val="Prrafodelista"/>
        <w:numPr>
          <w:ilvl w:val="0"/>
          <w:numId w:val="29"/>
        </w:numPr>
        <w:jc w:val="both"/>
        <w:rPr>
          <w:rFonts w:cstheme="minorHAnsi"/>
          <w:sz w:val="24"/>
          <w:szCs w:val="24"/>
          <w:lang w:val="es-CO"/>
        </w:rPr>
      </w:pPr>
      <w:r w:rsidRPr="00C316F8">
        <w:rPr>
          <w:rFonts w:cstheme="minorHAnsi"/>
          <w:sz w:val="24"/>
          <w:szCs w:val="24"/>
          <w:lang w:val="es-CO"/>
        </w:rPr>
        <w:t>Diseñar intervenciones integrales que aborden simultáneamente determinantes sociales, económicos y sanitarios.</w:t>
      </w:r>
    </w:p>
    <w:p w14:paraId="0403499C" w14:textId="61698605" w:rsidR="00DA16F2" w:rsidRPr="00C316F8" w:rsidRDefault="00DA16F2" w:rsidP="00390148">
      <w:pPr>
        <w:pStyle w:val="Prrafodelista"/>
        <w:numPr>
          <w:ilvl w:val="0"/>
          <w:numId w:val="29"/>
        </w:numPr>
        <w:jc w:val="both"/>
        <w:rPr>
          <w:rFonts w:cstheme="minorHAnsi"/>
          <w:sz w:val="24"/>
          <w:szCs w:val="24"/>
          <w:lang w:val="es-CO"/>
        </w:rPr>
      </w:pPr>
      <w:r w:rsidRPr="00C316F8">
        <w:rPr>
          <w:rFonts w:cstheme="minorHAnsi"/>
          <w:sz w:val="24"/>
          <w:szCs w:val="24"/>
          <w:lang w:val="es-CO"/>
        </w:rPr>
        <w:t>Establecer protocolos diferenciados para poblaciones específicas</w:t>
      </w:r>
      <w:r w:rsidR="001425C9" w:rsidRPr="00C316F8">
        <w:rPr>
          <w:rFonts w:cstheme="minorHAnsi"/>
          <w:sz w:val="24"/>
          <w:szCs w:val="24"/>
          <w:lang w:val="es-CO"/>
        </w:rPr>
        <w:t>.</w:t>
      </w:r>
    </w:p>
    <w:p w14:paraId="0D2BA36B" w14:textId="77777777" w:rsidR="00DA16F2" w:rsidRPr="00C316F8" w:rsidRDefault="00DA16F2" w:rsidP="00390148">
      <w:pPr>
        <w:pStyle w:val="Prrafodelista"/>
        <w:numPr>
          <w:ilvl w:val="0"/>
          <w:numId w:val="29"/>
        </w:numPr>
        <w:jc w:val="both"/>
        <w:rPr>
          <w:rFonts w:cstheme="minorHAnsi"/>
          <w:sz w:val="24"/>
          <w:szCs w:val="24"/>
          <w:lang w:val="es-CO"/>
        </w:rPr>
      </w:pPr>
      <w:r w:rsidRPr="00C316F8">
        <w:rPr>
          <w:rFonts w:cstheme="minorHAnsi"/>
          <w:sz w:val="24"/>
          <w:szCs w:val="24"/>
          <w:lang w:val="es-CO"/>
        </w:rPr>
        <w:t>Garantizar la participación activa de liderazgos comunitarios diversos en la formulación, implementación y evaluación de las políticas.</w:t>
      </w:r>
    </w:p>
    <w:p w14:paraId="46E07A01" w14:textId="39BD27F8" w:rsidR="006809EB" w:rsidRPr="00C316F8" w:rsidRDefault="00DA16F2" w:rsidP="00B96D9D">
      <w:pPr>
        <w:pStyle w:val="Ttulo1"/>
        <w:numPr>
          <w:ilvl w:val="1"/>
          <w:numId w:val="7"/>
        </w:numPr>
        <w:rPr>
          <w:lang w:val="es-CO"/>
        </w:rPr>
      </w:pPr>
      <w:bookmarkStart w:id="99" w:name="_Toc229834688"/>
      <w:r w:rsidRPr="00C316F8">
        <w:rPr>
          <w:lang w:val="es-CO"/>
        </w:rPr>
        <w:lastRenderedPageBreak/>
        <w:t>Propuestas para futuras crisis desde la justicia estructura</w:t>
      </w:r>
      <w:r w:rsidR="006809EB" w:rsidRPr="00C316F8">
        <w:rPr>
          <w:lang w:val="es-CO"/>
        </w:rPr>
        <w:t>l</w:t>
      </w:r>
      <w:bookmarkEnd w:id="99"/>
    </w:p>
    <w:p w14:paraId="7CF6FA2D" w14:textId="77777777" w:rsidR="006809EB" w:rsidRPr="00C316F8" w:rsidRDefault="006809EB" w:rsidP="006809EB">
      <w:pPr>
        <w:rPr>
          <w:lang w:val="es-CO"/>
        </w:rPr>
      </w:pPr>
    </w:p>
    <w:p w14:paraId="6DD5D51E" w14:textId="1FE89C34" w:rsidR="00DA16F2" w:rsidRPr="00C316F8" w:rsidRDefault="00DA16F2" w:rsidP="00DA16F2">
      <w:pPr>
        <w:jc w:val="both"/>
        <w:rPr>
          <w:rFonts w:cstheme="minorHAnsi"/>
          <w:sz w:val="24"/>
          <w:szCs w:val="24"/>
          <w:lang w:val="es-CO"/>
        </w:rPr>
      </w:pPr>
      <w:r w:rsidRPr="00C316F8">
        <w:rPr>
          <w:rFonts w:cstheme="minorHAnsi"/>
          <w:sz w:val="24"/>
          <w:szCs w:val="24"/>
          <w:lang w:val="es-CO"/>
        </w:rPr>
        <w:t>Más allá de la coyuntura, los hallazgos de esta investigación hacen evidente la necesidad de transformaciones estructurales que corrijan desigualdades históricas. Desde un enfoque de justicia estructural, se plantean las siguientes medidas:</w:t>
      </w:r>
    </w:p>
    <w:p w14:paraId="0FBE735F" w14:textId="77777777" w:rsidR="00DA16F2" w:rsidRPr="00C316F8" w:rsidRDefault="00DA16F2" w:rsidP="00390148">
      <w:pPr>
        <w:pStyle w:val="Prrafodelista"/>
        <w:numPr>
          <w:ilvl w:val="0"/>
          <w:numId w:val="30"/>
        </w:numPr>
        <w:jc w:val="both"/>
        <w:rPr>
          <w:rFonts w:cstheme="minorHAnsi"/>
          <w:sz w:val="24"/>
          <w:szCs w:val="24"/>
          <w:lang w:val="es-CO"/>
        </w:rPr>
      </w:pPr>
      <w:r w:rsidRPr="00C316F8">
        <w:rPr>
          <w:rFonts w:cstheme="minorHAnsi"/>
          <w:sz w:val="24"/>
          <w:szCs w:val="24"/>
          <w:lang w:val="es-CO"/>
        </w:rPr>
        <w:t>Impulsar reformas fiscales y presupuestales que redistribuyan recursos con criterios de equidad territorial.</w:t>
      </w:r>
    </w:p>
    <w:p w14:paraId="372A01FD" w14:textId="77777777" w:rsidR="00DA16F2" w:rsidRPr="00C316F8" w:rsidRDefault="00DA16F2" w:rsidP="00390148">
      <w:pPr>
        <w:pStyle w:val="Prrafodelista"/>
        <w:numPr>
          <w:ilvl w:val="0"/>
          <w:numId w:val="30"/>
        </w:numPr>
        <w:jc w:val="both"/>
        <w:rPr>
          <w:rFonts w:cstheme="minorHAnsi"/>
          <w:sz w:val="24"/>
          <w:szCs w:val="24"/>
          <w:lang w:val="es-CO"/>
        </w:rPr>
      </w:pPr>
      <w:r w:rsidRPr="00C316F8">
        <w:rPr>
          <w:rFonts w:cstheme="minorHAnsi"/>
          <w:sz w:val="24"/>
          <w:szCs w:val="24"/>
          <w:lang w:val="es-CO"/>
        </w:rPr>
        <w:t>Promover políticas públicas que aborden las causas profundas de la pobreza: trabajo digno, salud y educación de calidad, seguridad alimentaria y conectividad digital.</w:t>
      </w:r>
    </w:p>
    <w:p w14:paraId="1719195D" w14:textId="77777777" w:rsidR="00DA16F2" w:rsidRPr="00C316F8" w:rsidRDefault="00DA16F2" w:rsidP="00390148">
      <w:pPr>
        <w:pStyle w:val="Prrafodelista"/>
        <w:numPr>
          <w:ilvl w:val="0"/>
          <w:numId w:val="30"/>
        </w:numPr>
        <w:jc w:val="both"/>
        <w:rPr>
          <w:rFonts w:cstheme="minorHAnsi"/>
          <w:sz w:val="24"/>
          <w:szCs w:val="24"/>
          <w:lang w:val="es-CO"/>
        </w:rPr>
      </w:pPr>
      <w:r w:rsidRPr="00C316F8">
        <w:rPr>
          <w:rFonts w:cstheme="minorHAnsi"/>
          <w:sz w:val="24"/>
          <w:szCs w:val="24"/>
          <w:lang w:val="es-CO"/>
        </w:rPr>
        <w:t>Establecer mecanismos de corresponsabilidad entre el Estado, la sociedad civil y la cooperación internacional para la atención integral de territorios en rezago.</w:t>
      </w:r>
    </w:p>
    <w:p w14:paraId="3C922C4F" w14:textId="77777777" w:rsidR="00DA16F2" w:rsidRPr="00C316F8" w:rsidRDefault="00DA16F2" w:rsidP="00390148">
      <w:pPr>
        <w:pStyle w:val="Prrafodelista"/>
        <w:numPr>
          <w:ilvl w:val="0"/>
          <w:numId w:val="30"/>
        </w:numPr>
        <w:jc w:val="both"/>
        <w:rPr>
          <w:rFonts w:cstheme="minorHAnsi"/>
          <w:sz w:val="24"/>
          <w:szCs w:val="24"/>
          <w:lang w:val="es-CO"/>
        </w:rPr>
      </w:pPr>
      <w:r w:rsidRPr="00C316F8">
        <w:rPr>
          <w:rFonts w:cstheme="minorHAnsi"/>
          <w:sz w:val="24"/>
          <w:szCs w:val="24"/>
          <w:lang w:val="es-CO"/>
        </w:rPr>
        <w:t>Garantizar los derechos colectivos de pueblos étnicos y poblaciones vulnerables, respetando su autonomía y procesos organizativos.</w:t>
      </w:r>
    </w:p>
    <w:p w14:paraId="6A885B28" w14:textId="77777777" w:rsidR="00DA16F2" w:rsidRPr="00C316F8" w:rsidRDefault="00DA16F2" w:rsidP="00390148">
      <w:pPr>
        <w:pStyle w:val="Prrafodelista"/>
        <w:numPr>
          <w:ilvl w:val="0"/>
          <w:numId w:val="30"/>
        </w:numPr>
        <w:jc w:val="both"/>
        <w:rPr>
          <w:rFonts w:cstheme="minorHAnsi"/>
          <w:sz w:val="24"/>
          <w:szCs w:val="24"/>
          <w:lang w:val="es-CO"/>
        </w:rPr>
      </w:pPr>
      <w:r w:rsidRPr="00C316F8">
        <w:rPr>
          <w:rFonts w:cstheme="minorHAnsi"/>
          <w:sz w:val="24"/>
          <w:szCs w:val="24"/>
          <w:lang w:val="es-CO"/>
        </w:rPr>
        <w:t>Crear sistemas de alerta temprana y planes de contingencia locales con enfoque territorial para responder a futuras crisis sanitarias, ambientales o sociales.</w:t>
      </w:r>
    </w:p>
    <w:p w14:paraId="063F3E1F" w14:textId="77777777" w:rsidR="00AD0A78" w:rsidRPr="00C316F8" w:rsidRDefault="00AD0A78" w:rsidP="00DA16F2">
      <w:pPr>
        <w:jc w:val="both"/>
        <w:rPr>
          <w:rFonts w:cstheme="minorHAnsi"/>
          <w:sz w:val="24"/>
          <w:szCs w:val="24"/>
          <w:lang w:val="es-CO"/>
        </w:rPr>
      </w:pPr>
    </w:p>
    <w:p w14:paraId="652B9CCE" w14:textId="57575CBE" w:rsidR="000D3931" w:rsidRPr="00C316F8" w:rsidRDefault="004C4424" w:rsidP="00C0526A">
      <w:pPr>
        <w:pStyle w:val="Ttulo1"/>
        <w:rPr>
          <w:rFonts w:cstheme="minorHAnsi"/>
          <w:szCs w:val="24"/>
          <w:lang w:val="es-CO"/>
        </w:rPr>
      </w:pPr>
      <w:r w:rsidRPr="00C316F8">
        <w:rPr>
          <w:szCs w:val="24"/>
          <w:lang w:val="es-CO"/>
        </w:rPr>
        <w:br w:type="page"/>
      </w:r>
    </w:p>
    <w:p w14:paraId="552B70E3" w14:textId="77777777" w:rsidR="000D3931" w:rsidRPr="00C316F8" w:rsidRDefault="000D3931" w:rsidP="000D3931">
      <w:pPr>
        <w:ind w:left="2832" w:hanging="2832"/>
        <w:jc w:val="center"/>
        <w:rPr>
          <w:rFonts w:cstheme="minorHAnsi"/>
          <w:b/>
          <w:bCs/>
          <w:sz w:val="24"/>
          <w:szCs w:val="24"/>
          <w:lang w:val="es-CO"/>
        </w:rPr>
      </w:pPr>
    </w:p>
    <w:p w14:paraId="7E969D70" w14:textId="77777777" w:rsidR="000D3931" w:rsidRPr="00C316F8" w:rsidRDefault="000D3931" w:rsidP="000D3931">
      <w:pPr>
        <w:jc w:val="both"/>
        <w:rPr>
          <w:rFonts w:cstheme="minorHAnsi"/>
          <w:sz w:val="24"/>
          <w:szCs w:val="24"/>
          <w:lang w:val="es-CO"/>
        </w:rPr>
      </w:pPr>
    </w:p>
    <w:p w14:paraId="7322BDE2" w14:textId="77777777" w:rsidR="000D3931" w:rsidRPr="00C316F8" w:rsidRDefault="000D3931" w:rsidP="000D3931">
      <w:pPr>
        <w:rPr>
          <w:rFonts w:cstheme="minorHAnsi"/>
          <w:sz w:val="24"/>
          <w:szCs w:val="24"/>
          <w:lang w:val="es-CO"/>
        </w:rPr>
      </w:pPr>
      <w:r w:rsidRPr="00C316F8">
        <w:rPr>
          <w:rFonts w:cstheme="minorHAnsi"/>
          <w:sz w:val="24"/>
          <w:szCs w:val="24"/>
          <w:lang w:val="es-CO"/>
        </w:rPr>
        <w:br w:type="page"/>
      </w:r>
    </w:p>
    <w:p w14:paraId="2DB686A3" w14:textId="464C1FE7" w:rsidR="00855A82" w:rsidRPr="00C316F8" w:rsidRDefault="00435BC3" w:rsidP="00CB4AB9">
      <w:pPr>
        <w:pStyle w:val="Ttulo1"/>
        <w:numPr>
          <w:ilvl w:val="0"/>
          <w:numId w:val="21"/>
        </w:numPr>
        <w:rPr>
          <w:lang w:val="es-CO"/>
        </w:rPr>
      </w:pPr>
      <w:bookmarkStart w:id="100" w:name="_Toc229834689"/>
      <w:r w:rsidRPr="00C316F8">
        <w:rPr>
          <w:lang w:val="es-CO"/>
        </w:rPr>
        <w:lastRenderedPageBreak/>
        <w:t>BIBLIOGRAFIA</w:t>
      </w:r>
      <w:bookmarkEnd w:id="100"/>
    </w:p>
    <w:p w14:paraId="0C1A6EE8" w14:textId="77777777" w:rsidR="008F1217" w:rsidRPr="0079649D" w:rsidRDefault="00435BC3" w:rsidP="008F1217">
      <w:pPr>
        <w:pStyle w:val="Bibliografa"/>
        <w:rPr>
          <w:lang w:val="es-CO"/>
        </w:rPr>
      </w:pPr>
      <w:r w:rsidRPr="00C316F8">
        <w:rPr>
          <w:rFonts w:cstheme="minorHAnsi"/>
          <w:lang w:val="es-CO"/>
        </w:rPr>
        <w:fldChar w:fldCharType="begin"/>
      </w:r>
      <w:r w:rsidR="008F1217">
        <w:rPr>
          <w:rFonts w:cstheme="minorHAnsi"/>
          <w:lang w:val="es-CO"/>
        </w:rPr>
        <w:instrText xml:space="preserve"> ADDIN ZOTERO_BIBL {"uncited":[],"omitted":[],"custom":[]} CSL_BIBLIOGRAPHY </w:instrText>
      </w:r>
      <w:r w:rsidRPr="00C316F8">
        <w:rPr>
          <w:rFonts w:cstheme="minorHAnsi"/>
          <w:lang w:val="es-CO"/>
        </w:rPr>
        <w:fldChar w:fldCharType="separate"/>
      </w:r>
      <w:r w:rsidR="008F1217" w:rsidRPr="0079649D">
        <w:rPr>
          <w:lang w:val="es-CO"/>
        </w:rPr>
        <w:t>1.</w:t>
      </w:r>
      <w:r w:rsidR="008F1217" w:rsidRPr="0079649D">
        <w:rPr>
          <w:lang w:val="es-CO"/>
        </w:rPr>
        <w:tab/>
        <w:t>Colombia confirma su primer caso de COVID-19 [Internet]. [citado 18 de mayo de 2025]. Disponible en: https://www.minsalud.gov.co/Paginas/Colombia-confirma-su-primer-caso-de-COVID-19.aspx</w:t>
      </w:r>
    </w:p>
    <w:p w14:paraId="6D1D60CB" w14:textId="77777777" w:rsidR="008F1217" w:rsidRPr="0079649D" w:rsidRDefault="008F1217" w:rsidP="008F1217">
      <w:pPr>
        <w:pStyle w:val="Bibliografa"/>
        <w:rPr>
          <w:lang w:val="es-CO"/>
        </w:rPr>
      </w:pPr>
      <w:r w:rsidRPr="0079649D">
        <w:rPr>
          <w:lang w:val="es-CO"/>
        </w:rPr>
        <w:t>2.</w:t>
      </w:r>
      <w:r w:rsidRPr="0079649D">
        <w:rPr>
          <w:lang w:val="es-CO"/>
        </w:rPr>
        <w:tab/>
        <w:t>Millán-Guerrero RO, Caballero-Hoyos R, Monárrez-Espino J. Poverty and survival from COVID-19 in Mexico. J Public Health. 2021;43(3):437-44.</w:t>
      </w:r>
    </w:p>
    <w:p w14:paraId="1B173386" w14:textId="77777777" w:rsidR="008F1217" w:rsidRDefault="008F1217" w:rsidP="008F1217">
      <w:pPr>
        <w:pStyle w:val="Bibliografa"/>
      </w:pPr>
      <w:r w:rsidRPr="0079649D">
        <w:rPr>
          <w:lang w:val="es-CO"/>
        </w:rPr>
        <w:t>3.</w:t>
      </w:r>
      <w:r w:rsidRPr="0079649D">
        <w:rPr>
          <w:lang w:val="es-CO"/>
        </w:rPr>
        <w:tab/>
        <w:t xml:space="preserve">Cifuentes MP, Rodriguez-Villamizar LA, Rojas-Botero ML, Alvarez-Moreno CA, Fernández-Niño JA. </w:t>
      </w:r>
      <w:r>
        <w:t>Socioeconomic inequalities associated with mortality for COVID-19 in Colombia: a cohort nationwide study. J Epidemiol Community Health. julio de 2021;75(7):610-5. doi:10.1136/jech-2020-216275</w:t>
      </w:r>
    </w:p>
    <w:p w14:paraId="6420652F" w14:textId="77777777" w:rsidR="008F1217" w:rsidRPr="0079649D" w:rsidRDefault="008F1217" w:rsidP="008F1217">
      <w:pPr>
        <w:pStyle w:val="Bibliografa"/>
        <w:rPr>
          <w:lang w:val="es-CO"/>
        </w:rPr>
      </w:pPr>
      <w:r>
        <w:t>4.</w:t>
      </w:r>
      <w:r>
        <w:tab/>
        <w:t xml:space="preserve">Webb Hooper M, Nápoles AM, Pérez-Stable EJ. COVID-19 and Racial/Ethnic Disparities. </w:t>
      </w:r>
      <w:r w:rsidRPr="0079649D">
        <w:rPr>
          <w:lang w:val="es-CO"/>
        </w:rPr>
        <w:t>JAMA. 23 de junio de 2020;323(24):2466. doi:10.1001/jama.2020.8598</w:t>
      </w:r>
    </w:p>
    <w:p w14:paraId="49D69D2E" w14:textId="77777777" w:rsidR="008F1217" w:rsidRDefault="008F1217" w:rsidP="008F1217">
      <w:pPr>
        <w:pStyle w:val="Bibliografa"/>
      </w:pPr>
      <w:r w:rsidRPr="0079649D">
        <w:rPr>
          <w:lang w:val="es-CO"/>
        </w:rPr>
        <w:t>5.</w:t>
      </w:r>
      <w:r w:rsidRPr="0079649D">
        <w:rPr>
          <w:lang w:val="es-CO"/>
        </w:rPr>
        <w:tab/>
        <w:t xml:space="preserve">Farmer MM, Ferraro KF. </w:t>
      </w:r>
      <w:r>
        <w:t>Are racial disparities in health conditional on socioeconomic status? Soc Sci Med. enero de 2005;60(1):191-204. doi:10.1016/j.socscimed.2004.04.026</w:t>
      </w:r>
    </w:p>
    <w:p w14:paraId="4958D723" w14:textId="77777777" w:rsidR="008F1217" w:rsidRPr="0079649D" w:rsidRDefault="008F1217" w:rsidP="008F1217">
      <w:pPr>
        <w:pStyle w:val="Bibliografa"/>
        <w:rPr>
          <w:lang w:val="es-CO"/>
        </w:rPr>
      </w:pPr>
      <w:r>
        <w:t>6.</w:t>
      </w:r>
      <w:r>
        <w:tab/>
        <w:t xml:space="preserve">Ide T. COVID-19 and armed conflict. </w:t>
      </w:r>
      <w:r w:rsidRPr="0079649D">
        <w:rPr>
          <w:lang w:val="es-CO"/>
        </w:rPr>
        <w:t>World Dev. abril de 2021;140:105355. doi:10.1016/j.worlddev.2020.105355</w:t>
      </w:r>
    </w:p>
    <w:p w14:paraId="704222FE" w14:textId="77777777" w:rsidR="008F1217" w:rsidRPr="0079649D" w:rsidRDefault="008F1217" w:rsidP="008F1217">
      <w:pPr>
        <w:pStyle w:val="Bibliografa"/>
        <w:rPr>
          <w:lang w:val="es-CO"/>
        </w:rPr>
      </w:pPr>
      <w:r w:rsidRPr="0079649D">
        <w:rPr>
          <w:lang w:val="es-CO"/>
        </w:rPr>
        <w:t>7.</w:t>
      </w:r>
      <w:r w:rsidRPr="0079649D">
        <w:rPr>
          <w:lang w:val="es-CO"/>
        </w:rPr>
        <w:tab/>
        <w:t>Colombia | MPPN [Internet]. [citado 2 de abril de 2022]. Disponible en: https://mppn.org/es/paises_participantes/colombia/</w:t>
      </w:r>
    </w:p>
    <w:p w14:paraId="34455CD7" w14:textId="77777777" w:rsidR="008F1217" w:rsidRDefault="008F1217" w:rsidP="008F1217">
      <w:pPr>
        <w:pStyle w:val="Bibliografa"/>
      </w:pPr>
      <w:r>
        <w:t>8.</w:t>
      </w:r>
      <w:r>
        <w:tab/>
        <w:t>Alkire S, Foster J. Counting and multidimensional poverty measurement. J Public Econ. agosto de 2011;95(7-8):476-87. doi:10.1016/j.jpubeco.2010.11.006</w:t>
      </w:r>
    </w:p>
    <w:p w14:paraId="6407739A" w14:textId="77777777" w:rsidR="008F1217" w:rsidRDefault="008F1217" w:rsidP="008F1217">
      <w:pPr>
        <w:pStyle w:val="Bibliografa"/>
      </w:pPr>
      <w:r>
        <w:t>9.</w:t>
      </w:r>
      <w:r>
        <w:tab/>
        <w:t>Salazar R, Díaz B, Pinzón R. A counting multidimensional poverty index in public policy context: The case of Colombia. 2013.</w:t>
      </w:r>
    </w:p>
    <w:p w14:paraId="0CEAD070" w14:textId="77777777" w:rsidR="008F1217" w:rsidRDefault="008F1217" w:rsidP="008F1217">
      <w:pPr>
        <w:pStyle w:val="Bibliografa"/>
      </w:pPr>
      <w:r>
        <w:t>10.</w:t>
      </w:r>
      <w:r>
        <w:tab/>
        <w:t>Angulo R, Díaz Y, Pardo R. The Colombian multidimensional poverty index: Measuring poverty in a public policy context. Soc Indic Res. 2016;127:1-38.</w:t>
      </w:r>
    </w:p>
    <w:p w14:paraId="274B04F9" w14:textId="77777777" w:rsidR="008F1217" w:rsidRDefault="008F1217" w:rsidP="008F1217">
      <w:pPr>
        <w:pStyle w:val="Bibliografa"/>
      </w:pPr>
      <w:r>
        <w:t>11.</w:t>
      </w:r>
      <w:r>
        <w:tab/>
        <w:t>Benavides EO, Velásquez JJN. Ethnicity and social exclusion in Colombia in 2012–2017. CEPAL Rev. 2022;2021(134):33-54.</w:t>
      </w:r>
    </w:p>
    <w:p w14:paraId="040A8559" w14:textId="77777777" w:rsidR="008F1217" w:rsidRDefault="008F1217" w:rsidP="008F1217">
      <w:pPr>
        <w:pStyle w:val="Bibliografa"/>
      </w:pPr>
      <w:r>
        <w:t>12.</w:t>
      </w:r>
      <w:r>
        <w:tab/>
        <w:t>Chen R, Aschmann HE, Chen YH, Glymour MM, Bibbins-Domingo K, Stokes AC, et al. Racial and Ethnic Disparities in Estimated Excess Mortality From External Causes in the US, March to December 2020. JAMA Intern Med. 9 de mayo de 2022. doi:10.1001/jamainternmed.2022.1461</w:t>
      </w:r>
    </w:p>
    <w:p w14:paraId="22AA6659" w14:textId="77777777" w:rsidR="008F1217" w:rsidRDefault="008F1217" w:rsidP="008F1217">
      <w:pPr>
        <w:pStyle w:val="Bibliografa"/>
      </w:pPr>
      <w:r>
        <w:t>13.</w:t>
      </w:r>
      <w:r>
        <w:tab/>
        <w:t>Athavale P, Kumar V, Clark J, Mondal S, Sur S. Differential impact of COVID-19 risk factors on ethnicities in the United States. Front Public Health. 2021;9:743003.</w:t>
      </w:r>
    </w:p>
    <w:p w14:paraId="7E2534F4" w14:textId="77777777" w:rsidR="008F1217" w:rsidRDefault="008F1217" w:rsidP="008F1217">
      <w:pPr>
        <w:pStyle w:val="Bibliografa"/>
      </w:pPr>
      <w:r>
        <w:t>14.</w:t>
      </w:r>
      <w:r>
        <w:tab/>
        <w:t>Navarro-Román L, Román GC. The devastating effects of the COVID-19 pandemic among ethnic minorities, migrants, and refugees. Neurol Migr Refug. 2022;153-63.</w:t>
      </w:r>
    </w:p>
    <w:p w14:paraId="746D5F8F" w14:textId="77777777" w:rsidR="008F1217" w:rsidRDefault="008F1217" w:rsidP="008F1217">
      <w:pPr>
        <w:pStyle w:val="Bibliografa"/>
      </w:pPr>
      <w:r>
        <w:t>15.</w:t>
      </w:r>
      <w:r>
        <w:tab/>
        <w:t xml:space="preserve">Mathur R, Rentsch CT, Morton CE, Hulme WJ, Schultze A, MacKenna B, et al. Ethnic differences in SARS-CoV-2 infection and COVID-19-related hospitalisation, intensive care unit </w:t>
      </w:r>
      <w:r>
        <w:lastRenderedPageBreak/>
        <w:t>admission, and death in 17 million adults in England: an observational cohort study using the OpenSAFELY platform. The Lancet. mayo de 2021;397(10286):1711-24. doi:10.1016/S0140-6736(21)00634-6</w:t>
      </w:r>
    </w:p>
    <w:p w14:paraId="22F7F8F2" w14:textId="77777777" w:rsidR="008F1217" w:rsidRDefault="008F1217" w:rsidP="008F1217">
      <w:pPr>
        <w:pStyle w:val="Bibliografa"/>
      </w:pPr>
      <w:r>
        <w:t>16.</w:t>
      </w:r>
      <w:r>
        <w:tab/>
        <w:t>Amdaoud M, Arcuri G, Levratto N. Are regions equal in adversity? A spatial analysis of spread and dynamics of COVID-19 in Europe. Eur J Health Econ. junio de 2021;22(4):629-42. doi:10.1007/s10198-021-01280-6</w:t>
      </w:r>
    </w:p>
    <w:p w14:paraId="1E162978" w14:textId="77777777" w:rsidR="008F1217" w:rsidRPr="0079649D" w:rsidRDefault="008F1217" w:rsidP="008F1217">
      <w:pPr>
        <w:pStyle w:val="Bibliografa"/>
        <w:rPr>
          <w:lang w:val="es-CO"/>
        </w:rPr>
      </w:pPr>
      <w:r>
        <w:t>17.</w:t>
      </w:r>
      <w:r>
        <w:tab/>
        <w:t xml:space="preserve">About Social Determinants of Health (SDOH) [Internet]. </w:t>
      </w:r>
      <w:r w:rsidRPr="0079649D">
        <w:rPr>
          <w:lang w:val="es-CO"/>
        </w:rPr>
        <w:t>[citado 7 de junio de 2022]. Disponible en: https://www.cdc.gov/socialdeterminants/about.html</w:t>
      </w:r>
    </w:p>
    <w:p w14:paraId="534193FE" w14:textId="77777777" w:rsidR="008F1217" w:rsidRPr="0079649D" w:rsidRDefault="008F1217" w:rsidP="008F1217">
      <w:pPr>
        <w:pStyle w:val="Bibliografa"/>
        <w:rPr>
          <w:lang w:val="es-CO"/>
        </w:rPr>
      </w:pPr>
      <w:r w:rsidRPr="0079649D">
        <w:rPr>
          <w:lang w:val="es-CO"/>
        </w:rPr>
        <w:t>18.</w:t>
      </w:r>
      <w:r w:rsidRPr="0079649D">
        <w:rPr>
          <w:lang w:val="es-CO"/>
        </w:rPr>
        <w:tab/>
        <w:t>Consideraciones sobre acceso igualitario a la salud y grupos de minorías raciales y étnicas | CDC [Internet]. [citado 7 de junio de 2022]. Disponible en: https://espanol.cdc.gov/coronavirus/2019-ncov/community/health-equity/race-ethnicity.html</w:t>
      </w:r>
    </w:p>
    <w:p w14:paraId="15D76858" w14:textId="77777777" w:rsidR="008F1217" w:rsidRPr="0079649D" w:rsidRDefault="008F1217" w:rsidP="008F1217">
      <w:pPr>
        <w:pStyle w:val="Bibliografa"/>
        <w:rPr>
          <w:lang w:val="es-CO"/>
        </w:rPr>
      </w:pPr>
      <w:r>
        <w:t>19.</w:t>
      </w:r>
      <w:r>
        <w:tab/>
        <w:t xml:space="preserve">Burström B, Tao W. Social Determinants of Health and Inequalities in Covid-19. </w:t>
      </w:r>
      <w:r w:rsidRPr="0079649D">
        <w:rPr>
          <w:lang w:val="es-CO"/>
        </w:rPr>
        <w:t>Eur J Public Health. 1 de agosto de 2020;30(4):617-8. doi:10.1093/eurpub/ckaa095</w:t>
      </w:r>
    </w:p>
    <w:p w14:paraId="03CAAF1F" w14:textId="77777777" w:rsidR="008F1217" w:rsidRPr="0079649D" w:rsidRDefault="008F1217" w:rsidP="008F1217">
      <w:pPr>
        <w:pStyle w:val="Bibliografa"/>
        <w:rPr>
          <w:lang w:val="es-CO"/>
        </w:rPr>
      </w:pPr>
      <w:r w:rsidRPr="0079649D">
        <w:rPr>
          <w:lang w:val="es-CO"/>
        </w:rPr>
        <w:t>20.</w:t>
      </w:r>
      <w:r w:rsidRPr="0079649D">
        <w:rPr>
          <w:lang w:val="es-CO"/>
        </w:rPr>
        <w:tab/>
        <w:t>Acosta Medina AD, Acosta Medina AD. COLOMBIA: ESCENARIO DE LAS DESIGUALDADES. Tendencias [Internet]. junio de 2013 [citado 7 de junio de 2022];14(1):9-35. Disponible en: http://www.scielo.org.co/scielo.php?script=sci_abstract&amp;pid=S0124-86932013000100009&amp;lng=en&amp;nrm=iso&amp;tlng=es</w:t>
      </w:r>
    </w:p>
    <w:p w14:paraId="11ACDFC1" w14:textId="77777777" w:rsidR="008F1217" w:rsidRPr="0079649D" w:rsidRDefault="008F1217" w:rsidP="008F1217">
      <w:pPr>
        <w:pStyle w:val="Bibliografa"/>
        <w:rPr>
          <w:lang w:val="es-CO"/>
        </w:rPr>
      </w:pPr>
      <w:r w:rsidRPr="0079649D">
        <w:rPr>
          <w:lang w:val="es-CO"/>
        </w:rPr>
        <w:t>21.</w:t>
      </w:r>
      <w:r w:rsidRPr="0079649D">
        <w:rPr>
          <w:lang w:val="es-CO"/>
        </w:rPr>
        <w:tab/>
        <w:t>La pandemia de enfermedad por coronavirus (COVID-19): una oportunidad de aplicar un enfoque sistémico al riesgo de desastres en el Caribe | Publicación | Comisión Económica para América Latina y el Caribe [Internet]. [citado 11 de mayo de 2022]. Disponible en: https://www.cepal.org/es/publicaciones/46731-la-pandemia-enfermedad-coronavirus-covid-19-oportunidad-aplicar-un-enfoque</w:t>
      </w:r>
    </w:p>
    <w:p w14:paraId="30109807" w14:textId="77777777" w:rsidR="008F1217" w:rsidRPr="0079649D" w:rsidRDefault="008F1217" w:rsidP="008F1217">
      <w:pPr>
        <w:pStyle w:val="Bibliografa"/>
        <w:rPr>
          <w:lang w:val="es-CO"/>
        </w:rPr>
      </w:pPr>
      <w:r>
        <w:t>22.</w:t>
      </w:r>
      <w:r>
        <w:tab/>
        <w:t xml:space="preserve">Karlsson M, Nilsson T, Pichler S. The impact of the 1918 Spanish flu epidemic on economic performance in Sweden. </w:t>
      </w:r>
      <w:r w:rsidRPr="0079649D">
        <w:rPr>
          <w:lang w:val="es-CO"/>
        </w:rPr>
        <w:t>J Health Econ. julio de 2014;36:1-19. doi:10.1016/j.jhealeco.2014.03.005</w:t>
      </w:r>
    </w:p>
    <w:p w14:paraId="07A4FEC4" w14:textId="77777777" w:rsidR="008F1217" w:rsidRDefault="008F1217" w:rsidP="008F1217">
      <w:pPr>
        <w:pStyle w:val="Bibliografa"/>
      </w:pPr>
      <w:r w:rsidRPr="0079649D">
        <w:rPr>
          <w:lang w:val="es-CO"/>
        </w:rPr>
        <w:t>23.</w:t>
      </w:r>
      <w:r w:rsidRPr="0079649D">
        <w:rPr>
          <w:lang w:val="es-CO"/>
        </w:rPr>
        <w:tab/>
        <w:t xml:space="preserve">España I. Las pandemias y la economía: lecciones desde la historia económica. </w:t>
      </w:r>
      <w:r>
        <w:t>Rev Asoc Urug Hist Económica-Año X-No 17-Julio 2020. 2020;68.</w:t>
      </w:r>
    </w:p>
    <w:p w14:paraId="5FCE5DD9" w14:textId="77777777" w:rsidR="008F1217" w:rsidRPr="0079649D" w:rsidRDefault="008F1217" w:rsidP="008F1217">
      <w:pPr>
        <w:pStyle w:val="Bibliografa"/>
        <w:rPr>
          <w:lang w:val="es-CO"/>
        </w:rPr>
      </w:pPr>
      <w:r>
        <w:t>24.</w:t>
      </w:r>
      <w:r>
        <w:tab/>
        <w:t xml:space="preserve">Malanima P. Italy in the Renaissance: a leading economy in the European context, 1350-1550: ITALY IN THE RENAISSANCE. </w:t>
      </w:r>
      <w:r w:rsidRPr="0079649D">
        <w:rPr>
          <w:lang w:val="es-CO"/>
        </w:rPr>
        <w:t>Econ Hist Rev. febrero de 2018;71(1):3-30. doi:10.1111/ehr.12650</w:t>
      </w:r>
    </w:p>
    <w:p w14:paraId="0AF333F6" w14:textId="77777777" w:rsidR="008F1217" w:rsidRPr="0079649D" w:rsidRDefault="008F1217" w:rsidP="008F1217">
      <w:pPr>
        <w:pStyle w:val="Bibliografa"/>
        <w:rPr>
          <w:lang w:val="es-CO"/>
        </w:rPr>
      </w:pPr>
      <w:r w:rsidRPr="0079649D">
        <w:rPr>
          <w:lang w:val="es-CO"/>
        </w:rPr>
        <w:t>25.</w:t>
      </w:r>
      <w:r w:rsidRPr="0079649D">
        <w:rPr>
          <w:lang w:val="es-CO"/>
        </w:rPr>
        <w:tab/>
        <w:t xml:space="preserve">Alfani G, Murphy TE. </w:t>
      </w:r>
      <w:r>
        <w:t xml:space="preserve">Plague and Lethal Epidemics in the Pre-Industrial World. </w:t>
      </w:r>
      <w:r w:rsidRPr="0079649D">
        <w:rPr>
          <w:lang w:val="es-CO"/>
        </w:rPr>
        <w:t>J Econ Hist. marzo de 2017;77(1):314-43. doi:10.1017/S0022050717000092</w:t>
      </w:r>
    </w:p>
    <w:p w14:paraId="2F1D2DF3" w14:textId="77777777" w:rsidR="008F1217" w:rsidRPr="0079649D" w:rsidRDefault="008F1217" w:rsidP="008F1217">
      <w:pPr>
        <w:pStyle w:val="Bibliografa"/>
        <w:rPr>
          <w:lang w:val="es-CO"/>
        </w:rPr>
      </w:pPr>
      <w:r w:rsidRPr="0079649D">
        <w:rPr>
          <w:lang w:val="es-CO"/>
        </w:rPr>
        <w:t>26.</w:t>
      </w:r>
      <w:r w:rsidRPr="0079649D">
        <w:rPr>
          <w:lang w:val="es-CO"/>
        </w:rPr>
        <w:tab/>
        <w:t xml:space="preserve">Jaramillo-Echeverri J, Meisel-Roca A, Ramírez-Giraldo MT. </w:t>
      </w:r>
      <w:r>
        <w:t xml:space="preserve">More than 100 years of improvements in living standards: the case of Colombia. </w:t>
      </w:r>
      <w:r w:rsidRPr="0079649D">
        <w:rPr>
          <w:lang w:val="es-CO"/>
        </w:rPr>
        <w:t>Cliometrica. septiembre de 2019;13(3):323-66. doi:10.1007/s11698-018-0181-5</w:t>
      </w:r>
    </w:p>
    <w:p w14:paraId="0D7884FE" w14:textId="77777777" w:rsidR="008F1217" w:rsidRDefault="008F1217" w:rsidP="008F1217">
      <w:pPr>
        <w:pStyle w:val="Bibliografa"/>
      </w:pPr>
      <w:r w:rsidRPr="0079649D">
        <w:rPr>
          <w:lang w:val="es-CO"/>
        </w:rPr>
        <w:t>27.</w:t>
      </w:r>
      <w:r w:rsidRPr="0079649D">
        <w:rPr>
          <w:lang w:val="es-CO"/>
        </w:rPr>
        <w:tab/>
        <w:t xml:space="preserve">Pla J. Distinción y diferenciación. Las clases sociales desde la mirada de las trayectorias intergeneracionales de movilidad y las representaciones sobre la cuestión social. </w:t>
      </w:r>
      <w:r>
        <w:t>8.</w:t>
      </w:r>
    </w:p>
    <w:p w14:paraId="6392C336" w14:textId="77777777" w:rsidR="008F1217" w:rsidRDefault="008F1217" w:rsidP="008F1217">
      <w:pPr>
        <w:pStyle w:val="Bibliografa"/>
      </w:pPr>
      <w:r>
        <w:lastRenderedPageBreak/>
        <w:t>28.</w:t>
      </w:r>
      <w:r>
        <w:tab/>
        <w:t>Cutler D, Deaton A, Lleras-Muney A. The Determinants of Mortality. J Econ Perspect. 1 de mayo de 2006;20(3):97-120. doi:10.1257/jep.20.3.97</w:t>
      </w:r>
    </w:p>
    <w:p w14:paraId="1057DEA3" w14:textId="77777777" w:rsidR="008F1217" w:rsidRDefault="008F1217" w:rsidP="008F1217">
      <w:pPr>
        <w:pStyle w:val="Bibliografa"/>
      </w:pPr>
      <w:r>
        <w:t>29.</w:t>
      </w:r>
      <w:r>
        <w:tab/>
        <w:t xml:space="preserve">Deaton A. Health, Inequality, and Economic Development [Internet]. </w:t>
      </w:r>
      <w:r w:rsidRPr="0079649D">
        <w:rPr>
          <w:lang w:val="es-CO"/>
        </w:rPr>
        <w:t xml:space="preserve">Cambridge, MA: National Bureau of Economic Research; junio de 2001 [citado 20 de febrero de 2022]. p. w8318. </w:t>
      </w:r>
      <w:r>
        <w:t>Report no.: w8318. Disponible en: http://www.nber.org/papers/w8318.pdf doi:10.3386/w8318</w:t>
      </w:r>
    </w:p>
    <w:p w14:paraId="1604DBE6" w14:textId="77777777" w:rsidR="008F1217" w:rsidRPr="0079649D" w:rsidRDefault="008F1217" w:rsidP="008F1217">
      <w:pPr>
        <w:pStyle w:val="Bibliografa"/>
        <w:rPr>
          <w:lang w:val="es-CO"/>
        </w:rPr>
      </w:pPr>
      <w:r>
        <w:t>30.</w:t>
      </w:r>
      <w:r>
        <w:tab/>
        <w:t xml:space="preserve">Deaton A. Health, Inequality, and Economic Development. </w:t>
      </w:r>
      <w:r w:rsidRPr="0079649D">
        <w:rPr>
          <w:lang w:val="es-CO"/>
        </w:rPr>
        <w:t>J Econ Lit. marzo de 2003;41(1):113-58. doi:10.1257/jel.41.1.113</w:t>
      </w:r>
    </w:p>
    <w:p w14:paraId="5374C15F" w14:textId="77777777" w:rsidR="008F1217" w:rsidRDefault="008F1217" w:rsidP="008F1217">
      <w:pPr>
        <w:pStyle w:val="Bibliografa"/>
      </w:pPr>
      <w:r>
        <w:t>31.</w:t>
      </w:r>
      <w:r>
        <w:tab/>
        <w:t>Bosworth B. Increasing Disparities in Mortality by Socioeconomic Status. Annu Rev Public Health. 1 de abril de 2018;39(1):237-51. doi:10.1146/annurev-publhealth-040617-014615</w:t>
      </w:r>
    </w:p>
    <w:p w14:paraId="412B49E8" w14:textId="77777777" w:rsidR="008F1217" w:rsidRDefault="008F1217" w:rsidP="008F1217">
      <w:pPr>
        <w:pStyle w:val="Bibliografa"/>
      </w:pPr>
      <w:r w:rsidRPr="0079649D">
        <w:rPr>
          <w:lang w:val="es-CO"/>
        </w:rPr>
        <w:t>32.</w:t>
      </w:r>
      <w:r w:rsidRPr="0079649D">
        <w:rPr>
          <w:lang w:val="es-CO"/>
        </w:rPr>
        <w:tab/>
        <w:t xml:space="preserve">Salazar RCA, Díaz BY, Pinzón RP. </w:t>
      </w:r>
      <w:r>
        <w:t>A Counting Multidimensional Poverty Index in Public Policy Context: the case of Colombia. 52.</w:t>
      </w:r>
    </w:p>
    <w:p w14:paraId="34BF0E71" w14:textId="77777777" w:rsidR="008F1217" w:rsidRPr="0079649D" w:rsidRDefault="008F1217" w:rsidP="008F1217">
      <w:pPr>
        <w:pStyle w:val="Bibliografa"/>
        <w:rPr>
          <w:lang w:val="es-CO"/>
        </w:rPr>
      </w:pPr>
      <w:r>
        <w:t>33.</w:t>
      </w:r>
      <w:r>
        <w:tab/>
        <w:t xml:space="preserve">Wade P. Race and Ethnicity in Latin America [Internet]. Pluto Press; 2010 [citado 2 de abril de 2022]. Located at: JSTOR. </w:t>
      </w:r>
      <w:r w:rsidRPr="0079649D">
        <w:rPr>
          <w:lang w:val="es-CO"/>
        </w:rPr>
        <w:t>Disponible en: http://www.jstor.org/stable/j.ctt183p73f doi:10.2307/j.ctt183p73f</w:t>
      </w:r>
    </w:p>
    <w:p w14:paraId="2099D1A1" w14:textId="77777777" w:rsidR="008F1217" w:rsidRPr="0079649D" w:rsidRDefault="008F1217" w:rsidP="008F1217">
      <w:pPr>
        <w:pStyle w:val="Bibliografa"/>
        <w:rPr>
          <w:lang w:val="es-CO"/>
        </w:rPr>
      </w:pPr>
      <w:r>
        <w:t>34.</w:t>
      </w:r>
      <w:r>
        <w:tab/>
        <w:t xml:space="preserve">Wade P. Race and Ethnicity in Latin. </w:t>
      </w:r>
      <w:r w:rsidRPr="0079649D">
        <w:rPr>
          <w:lang w:val="es-CO"/>
        </w:rPr>
        <w:t>Am Londen. 1997;3.</w:t>
      </w:r>
    </w:p>
    <w:p w14:paraId="480BD964" w14:textId="77777777" w:rsidR="008F1217" w:rsidRDefault="008F1217" w:rsidP="008F1217">
      <w:pPr>
        <w:pStyle w:val="Bibliografa"/>
      </w:pPr>
      <w:r w:rsidRPr="0079649D">
        <w:rPr>
          <w:lang w:val="es-CO"/>
        </w:rPr>
        <w:t>35.</w:t>
      </w:r>
      <w:r w:rsidRPr="0079649D">
        <w:rPr>
          <w:lang w:val="es-CO"/>
        </w:rPr>
        <w:tab/>
        <w:t xml:space="preserve">Etnicidad, raza y equidad en América Latina y el Caribe. </w:t>
      </w:r>
      <w:r>
        <w:t>80.</w:t>
      </w:r>
    </w:p>
    <w:p w14:paraId="099FAB3F" w14:textId="77777777" w:rsidR="008F1217" w:rsidRPr="0079649D" w:rsidRDefault="008F1217" w:rsidP="008F1217">
      <w:pPr>
        <w:pStyle w:val="Bibliografa"/>
        <w:rPr>
          <w:lang w:val="es-CO"/>
        </w:rPr>
      </w:pPr>
      <w:r>
        <w:t>36.</w:t>
      </w:r>
      <w:r>
        <w:tab/>
        <w:t xml:space="preserve">Wilson WJ. The Truly Disadvantaged: The Inner City, the Underclass, and Public Policy, Second Edition [Internet]. </w:t>
      </w:r>
      <w:r w:rsidRPr="0079649D">
        <w:rPr>
          <w:lang w:val="es-CO"/>
        </w:rPr>
        <w:t>Chicago, IL: University of Chicago Press; 2012 [citado 22 de febrero de 2022]. 320 p. Disponible en: https://press.uchicago.edu/ucp/books/book/chicago/T/bo13375722.html</w:t>
      </w:r>
    </w:p>
    <w:p w14:paraId="4D79422A" w14:textId="77777777" w:rsidR="008F1217" w:rsidRPr="0079649D" w:rsidRDefault="008F1217" w:rsidP="008F1217">
      <w:pPr>
        <w:pStyle w:val="Bibliografa"/>
        <w:rPr>
          <w:lang w:val="es-CO"/>
        </w:rPr>
      </w:pPr>
      <w:r>
        <w:t>37.</w:t>
      </w:r>
      <w:r>
        <w:tab/>
        <w:t xml:space="preserve">Racial/Ethnic Disparities in Health: The Interplay Between Discrimination and Socioeconomic Status | David R. Williams [Internet]. </w:t>
      </w:r>
      <w:r w:rsidRPr="0079649D">
        <w:rPr>
          <w:lang w:val="es-CO"/>
        </w:rPr>
        <w:t>[citado 22 de febrero de 2022]. Disponible en: https://scholar.harvard.edu/davidrwilliams/dwilliam/publications/racialethnic-disparities-health-interplay-between-discrimination-and-socioecon</w:t>
      </w:r>
    </w:p>
    <w:p w14:paraId="3FEC1A87" w14:textId="77777777" w:rsidR="008F1217" w:rsidRDefault="008F1217" w:rsidP="008F1217">
      <w:pPr>
        <w:pStyle w:val="Bibliografa"/>
      </w:pPr>
      <w:r>
        <w:t>38.</w:t>
      </w:r>
      <w:r>
        <w:tab/>
        <w:t>Case A, Deaton A. Rising morbidity and mortality in midlife among white non-Hispanic Americans in the 21st century. Proc Natl Acad Sci. 8 de diciembre de 2015;112(49):15078-83. doi:10.1073/pnas.1518393112</w:t>
      </w:r>
    </w:p>
    <w:p w14:paraId="5FC27BA4" w14:textId="77777777" w:rsidR="008F1217" w:rsidRDefault="008F1217" w:rsidP="008F1217">
      <w:pPr>
        <w:pStyle w:val="Bibliografa"/>
      </w:pPr>
      <w:r>
        <w:t>39.</w:t>
      </w:r>
      <w:r>
        <w:tab/>
        <w:t>Montano D. Socioeconomic status, well-being and mortality: a comprehensive life course analysis of panel data, Germany, 1984-2016. Arch Public Health. 1 de diciembre de 2021;79(1). Located at: Springer Nature Journals; edssjs.D4D44910. doi:10.1186/s13690-021-00559-7</w:t>
      </w:r>
    </w:p>
    <w:p w14:paraId="430E312C" w14:textId="77777777" w:rsidR="008F1217" w:rsidRPr="0079649D" w:rsidRDefault="008F1217" w:rsidP="008F1217">
      <w:pPr>
        <w:pStyle w:val="Bibliografa"/>
        <w:rPr>
          <w:lang w:val="es-CO"/>
        </w:rPr>
      </w:pPr>
      <w:r>
        <w:t>40.</w:t>
      </w:r>
      <w:r>
        <w:tab/>
        <w:t xml:space="preserve">Elo IT, Martikainen P, Smith KP. Socioeconomic differentials in mortality in Finland and the United States: the role of education and income. </w:t>
      </w:r>
      <w:r w:rsidRPr="0079649D">
        <w:rPr>
          <w:lang w:val="es-CO"/>
        </w:rPr>
        <w:t>Eur J Popul Rev Eur Démographie. 1 de noviembre de 2006;22(2):179-203. doi:10.1007/s10680-006-0003-5</w:t>
      </w:r>
    </w:p>
    <w:p w14:paraId="128142B9" w14:textId="77777777" w:rsidR="008F1217" w:rsidRDefault="008F1217" w:rsidP="008F1217">
      <w:pPr>
        <w:pStyle w:val="Bibliografa"/>
      </w:pPr>
      <w:r>
        <w:t>41.</w:t>
      </w:r>
      <w:r>
        <w:tab/>
        <w:t>Hurt LS. Effects of education and other socioeconomic factors on middle age mortality in rural Bangladesh. J Epidemiol Community Health. 1 de abril de 2004;58(4):315-20. doi:10.1136/jech.2003.007351</w:t>
      </w:r>
    </w:p>
    <w:p w14:paraId="03E96F9A" w14:textId="77777777" w:rsidR="008F1217" w:rsidRDefault="008F1217" w:rsidP="008F1217">
      <w:pPr>
        <w:pStyle w:val="Bibliografa"/>
      </w:pPr>
      <w:r>
        <w:lastRenderedPageBreak/>
        <w:t>42.</w:t>
      </w:r>
      <w:r>
        <w:tab/>
        <w:t>Zajacova A, Goldman N, Rodríguez G. Unobserved Heterogeneity Can Confound the Effect of Education on Mortality. Math Popul Stud. 17 de abril de 2009;16(2):153-73. doi:10.1080/08898480902790528</w:t>
      </w:r>
    </w:p>
    <w:p w14:paraId="2D6B29DC" w14:textId="77777777" w:rsidR="008F1217" w:rsidRDefault="008F1217" w:rsidP="008F1217">
      <w:pPr>
        <w:pStyle w:val="Bibliografa"/>
      </w:pPr>
      <w:r>
        <w:t>43.</w:t>
      </w:r>
      <w:r>
        <w:tab/>
        <w:t>Rodgers GB. Income and inequality as determinants of mortality: An international cross-section analysis. Popul Stud. julio de 1979;33(2):343-51. doi:10.1080/00324728.1979.10410449</w:t>
      </w:r>
    </w:p>
    <w:p w14:paraId="03319845" w14:textId="77777777" w:rsidR="008F1217" w:rsidRDefault="008F1217" w:rsidP="008F1217">
      <w:pPr>
        <w:pStyle w:val="Bibliografa"/>
      </w:pPr>
      <w:r>
        <w:t>44.</w:t>
      </w:r>
      <w:r>
        <w:tab/>
        <w:t>Backlund E, Sorlie PD, Johnson NJ. The shape of the relationship between income and mortality in the United States. Ann Epidemiol. enero de 1996;6(1):12-20. doi:10.1016/1047-2797(95)00090-9</w:t>
      </w:r>
    </w:p>
    <w:p w14:paraId="20AB3D26" w14:textId="77777777" w:rsidR="008F1217" w:rsidRPr="0079649D" w:rsidRDefault="008F1217" w:rsidP="008F1217">
      <w:pPr>
        <w:pStyle w:val="Bibliografa"/>
        <w:rPr>
          <w:lang w:val="es-CO"/>
        </w:rPr>
      </w:pPr>
      <w:r>
        <w:t>45.</w:t>
      </w:r>
      <w:r>
        <w:tab/>
        <w:t xml:space="preserve">Kim M, You S, You J sung, Kim SY, Park JH. Income-Related Mortality Inequalities and Its Social Factors among Middle-Aged and Older Adults at the District Level in Aging Seoul: An Ecological Study Using Administrative Big Data. </w:t>
      </w:r>
      <w:r w:rsidRPr="0079649D">
        <w:rPr>
          <w:lang w:val="es-CO"/>
        </w:rPr>
        <w:t>Int J Environ Res Public Health. 30 de diciembre de 2021;19(1):383. doi:10.3390/ijerph19010383</w:t>
      </w:r>
    </w:p>
    <w:p w14:paraId="6455A97B" w14:textId="77777777" w:rsidR="008F1217" w:rsidRDefault="008F1217" w:rsidP="008F1217">
      <w:pPr>
        <w:pStyle w:val="Bibliografa"/>
      </w:pPr>
      <w:r>
        <w:t>46.</w:t>
      </w:r>
      <w:r>
        <w:tab/>
        <w:t>Kaplan GA, Pamuk ER, Lynch JW, Cohen RD, Balfour JL. Inequality in income and mortality in the United States: analysis of mortality and potential pathways. BMJ. 20 de abril de 1996;312(7037):999-1003. doi:10.1136/bmj.312.7037.999</w:t>
      </w:r>
    </w:p>
    <w:p w14:paraId="4553B9E3" w14:textId="77777777" w:rsidR="008F1217" w:rsidRPr="0079649D" w:rsidRDefault="008F1217" w:rsidP="008F1217">
      <w:pPr>
        <w:pStyle w:val="Bibliografa"/>
        <w:rPr>
          <w:lang w:val="es-CO"/>
        </w:rPr>
      </w:pPr>
      <w:r>
        <w:t>47.</w:t>
      </w:r>
      <w:r>
        <w:tab/>
        <w:t xml:space="preserve">Mustard CA. Gender differences in socioeconomic inequality in mortality. </w:t>
      </w:r>
      <w:r w:rsidRPr="0079649D">
        <w:rPr>
          <w:lang w:val="es-CO"/>
        </w:rPr>
        <w:t>J Epidemiol Community Health. 1 de diciembre de 2003;57(12):974-80. doi:10.1136/jech.57.12.974</w:t>
      </w:r>
    </w:p>
    <w:p w14:paraId="380F0A03" w14:textId="77777777" w:rsidR="008F1217" w:rsidRPr="0079649D" w:rsidRDefault="008F1217" w:rsidP="008F1217">
      <w:pPr>
        <w:pStyle w:val="Bibliografa"/>
        <w:rPr>
          <w:lang w:val="es-CO"/>
        </w:rPr>
      </w:pPr>
      <w:r w:rsidRPr="0079649D">
        <w:rPr>
          <w:lang w:val="es-CO"/>
        </w:rPr>
        <w:t>48.</w:t>
      </w:r>
      <w:r w:rsidRPr="0079649D">
        <w:rPr>
          <w:lang w:val="es-CO"/>
        </w:rPr>
        <w:tab/>
        <w:t>Ley 1551 de 2012 - Gestor Normativo - Función Pública [Internet]. [citado 20 de enero de 2024]. Disponible en: https://www.funcionpublica.gov.co/eva/gestornormativo/norma.php?i=48267</w:t>
      </w:r>
    </w:p>
    <w:p w14:paraId="33FFF90C" w14:textId="77777777" w:rsidR="008F1217" w:rsidRPr="0079649D" w:rsidRDefault="008F1217" w:rsidP="008F1217">
      <w:pPr>
        <w:pStyle w:val="Bibliografa"/>
        <w:rPr>
          <w:lang w:val="es-CO"/>
        </w:rPr>
      </w:pPr>
      <w:r w:rsidRPr="0079649D">
        <w:rPr>
          <w:lang w:val="es-CO"/>
        </w:rPr>
        <w:t>49.</w:t>
      </w:r>
      <w:r w:rsidRPr="0079649D">
        <w:rPr>
          <w:lang w:val="es-CO"/>
        </w:rPr>
        <w:tab/>
        <w:t>LEY 136 DE 1994 [Internet]. [citado 20 de enero de 2024]. Disponible en: https://www.suin-juriscol.gov.co/viewDocument.asp?id=1648916</w:t>
      </w:r>
    </w:p>
    <w:p w14:paraId="7E0200AC" w14:textId="77777777" w:rsidR="008F1217" w:rsidRPr="0079649D" w:rsidRDefault="008F1217" w:rsidP="008F1217">
      <w:pPr>
        <w:pStyle w:val="Bibliografa"/>
        <w:rPr>
          <w:lang w:val="es-CO"/>
        </w:rPr>
      </w:pPr>
      <w:r w:rsidRPr="0079649D">
        <w:rPr>
          <w:lang w:val="es-CO"/>
        </w:rPr>
        <w:t>50.</w:t>
      </w:r>
      <w:r w:rsidRPr="0079649D">
        <w:rPr>
          <w:lang w:val="es-CO"/>
        </w:rPr>
        <w:tab/>
        <w:t>LEY 617 DE 2000 [Internet]. [citado 13 de diciembre de 2023]. Disponible en: https://www.suin-juriscol.gov.co/viewDocument.asp?ruta=Leyes/1664753</w:t>
      </w:r>
    </w:p>
    <w:p w14:paraId="2DE0B2FB" w14:textId="77777777" w:rsidR="008F1217" w:rsidRPr="0079649D" w:rsidRDefault="008F1217" w:rsidP="008F1217">
      <w:pPr>
        <w:pStyle w:val="Bibliografa"/>
        <w:rPr>
          <w:lang w:val="es-CO"/>
        </w:rPr>
      </w:pPr>
      <w:r w:rsidRPr="0079649D">
        <w:rPr>
          <w:lang w:val="es-CO"/>
        </w:rPr>
        <w:t>51.</w:t>
      </w:r>
      <w:r w:rsidRPr="0079649D">
        <w:rPr>
          <w:lang w:val="es-CO"/>
        </w:rPr>
        <w:tab/>
        <w:t>Prada SI, Garcia-Garcia MP, Guzman J. COVID-19 response in Colombia: Hits and misses. Health Policy Technol. junio de 2022;11(2):100621. doi:10.1016/j.hlpt.2022.100621</w:t>
      </w:r>
    </w:p>
    <w:p w14:paraId="203F21A0" w14:textId="77777777" w:rsidR="008F1217" w:rsidRPr="0079649D" w:rsidRDefault="008F1217" w:rsidP="008F1217">
      <w:pPr>
        <w:pStyle w:val="Bibliografa"/>
        <w:rPr>
          <w:lang w:val="es-CO"/>
        </w:rPr>
      </w:pPr>
      <w:r w:rsidRPr="0079649D">
        <w:rPr>
          <w:lang w:val="es-CO"/>
        </w:rPr>
        <w:t>52.</w:t>
      </w:r>
      <w:r w:rsidRPr="0079649D">
        <w:rPr>
          <w:lang w:val="es-CO"/>
        </w:rPr>
        <w:tab/>
        <w:t>OECD. Estudios Económicos de la OCDE: Colombia 2022 [Internet]. OECD; 2022 [citado 15 de marzo de 2022]. Disponible en: https://www.oecd-ilibrary.org/economics/estudios-economicos-de-la-ocde-colombia-2022_991f37df-es doi:10.1787/991f37df-es</w:t>
      </w:r>
    </w:p>
    <w:p w14:paraId="30F9B3D1" w14:textId="77777777" w:rsidR="008F1217" w:rsidRPr="0079649D" w:rsidRDefault="008F1217" w:rsidP="008F1217">
      <w:pPr>
        <w:pStyle w:val="Bibliografa"/>
        <w:rPr>
          <w:lang w:val="es-CO"/>
        </w:rPr>
      </w:pPr>
      <w:r>
        <w:t>53.</w:t>
      </w:r>
      <w:r>
        <w:tab/>
        <w:t xml:space="preserve">Vista de COVID-19 in Colombia: repercussions on the economy [Internet]. </w:t>
      </w:r>
      <w:r w:rsidRPr="0079649D">
        <w:rPr>
          <w:lang w:val="es-CO"/>
        </w:rPr>
        <w:t>[citado 27 de febrero de 2022]. Disponible en: https://aunarcali.edu.co/revistas/index.php/RDCES/article/view/221/151</w:t>
      </w:r>
    </w:p>
    <w:p w14:paraId="767437B5" w14:textId="77777777" w:rsidR="008F1217" w:rsidRPr="0079649D" w:rsidRDefault="008F1217" w:rsidP="008F1217">
      <w:pPr>
        <w:pStyle w:val="Bibliografa"/>
        <w:rPr>
          <w:lang w:val="es-CO"/>
        </w:rPr>
      </w:pPr>
      <w:r w:rsidRPr="0079649D">
        <w:rPr>
          <w:lang w:val="es-CO"/>
        </w:rPr>
        <w:t>54.</w:t>
      </w:r>
      <w:r w:rsidRPr="0079649D">
        <w:rPr>
          <w:lang w:val="es-CO"/>
        </w:rPr>
        <w:tab/>
        <w:t>Paz-Gómez DM, Santelices Enríquez MC. (In) capacidades de política en tiempos de Covid-19: comprendiendo las respuestas económicas de Colombia y Ecuador. Análisis Político. 4 de febrero de 2021;33(100):72-91. doi:10.15446/anpol.v33n100.93362</w:t>
      </w:r>
    </w:p>
    <w:p w14:paraId="638A1256" w14:textId="77777777" w:rsidR="008F1217" w:rsidRPr="0079649D" w:rsidRDefault="008F1217" w:rsidP="008F1217">
      <w:pPr>
        <w:pStyle w:val="Bibliografa"/>
        <w:rPr>
          <w:lang w:val="es-CO"/>
        </w:rPr>
      </w:pPr>
      <w:r w:rsidRPr="0079649D">
        <w:rPr>
          <w:lang w:val="es-CO"/>
        </w:rPr>
        <w:lastRenderedPageBreak/>
        <w:t>55.</w:t>
      </w:r>
      <w:r w:rsidRPr="0079649D">
        <w:rPr>
          <w:lang w:val="es-CO"/>
        </w:rPr>
        <w:tab/>
        <w:t xml:space="preserve">Salazar RCA, Díaz BY, Pinzón RP. </w:t>
      </w:r>
      <w:r>
        <w:t xml:space="preserve">A counting multidimensional poverty index in public policy context: The case of Colombia. </w:t>
      </w:r>
      <w:r w:rsidRPr="0079649D">
        <w:rPr>
          <w:lang w:val="es-CO"/>
        </w:rPr>
        <w:t>2013.</w:t>
      </w:r>
    </w:p>
    <w:p w14:paraId="42EE698C" w14:textId="77777777" w:rsidR="008F1217" w:rsidRPr="0079649D" w:rsidRDefault="008F1217" w:rsidP="008F1217">
      <w:pPr>
        <w:pStyle w:val="Bibliografa"/>
        <w:rPr>
          <w:lang w:val="es-CO"/>
        </w:rPr>
      </w:pPr>
      <w:r w:rsidRPr="0079649D">
        <w:rPr>
          <w:lang w:val="es-CO"/>
        </w:rPr>
        <w:t>56.</w:t>
      </w:r>
      <w:r w:rsidRPr="0079649D">
        <w:rPr>
          <w:lang w:val="es-CO"/>
        </w:rPr>
        <w:tab/>
        <w:t>presentacion-rueda-de-prensa-pobreza-multidimensional-20.pdf [Internet]. [citado 23 de abril de 2022]. Disponible en: https://www.dane.gov.co/files/investigaciones/condiciones_vida/pobreza/2020/presentacion-rueda-de-prensa-pobreza-multidimensional-20.pdf</w:t>
      </w:r>
    </w:p>
    <w:p w14:paraId="4F5406CF" w14:textId="77777777" w:rsidR="008F1217" w:rsidRPr="0079649D" w:rsidRDefault="008F1217" w:rsidP="008F1217">
      <w:pPr>
        <w:pStyle w:val="Bibliografa"/>
        <w:rPr>
          <w:lang w:val="es-CO"/>
        </w:rPr>
      </w:pPr>
      <w:r w:rsidRPr="0079649D">
        <w:rPr>
          <w:lang w:val="es-CO"/>
        </w:rPr>
        <w:t>57.</w:t>
      </w:r>
      <w:r w:rsidRPr="0079649D">
        <w:rPr>
          <w:lang w:val="es-CO"/>
        </w:rPr>
        <w:tab/>
        <w:t>presentacion-extendida-pobreza-multidimensional-20.pdf [Internet]. [citado 23 de abril de 2022]. Disponible en: https://www.dane.gov.co/files/investigaciones/condiciones_vida/pobreza/2020/presentacion-extendida-pobreza-multidimensional-20.pdf</w:t>
      </w:r>
    </w:p>
    <w:p w14:paraId="65962311" w14:textId="77777777" w:rsidR="008F1217" w:rsidRPr="0079649D" w:rsidRDefault="008F1217" w:rsidP="008F1217">
      <w:pPr>
        <w:pStyle w:val="Bibliografa"/>
        <w:rPr>
          <w:lang w:val="es-CO"/>
        </w:rPr>
      </w:pPr>
      <w:r w:rsidRPr="0079649D">
        <w:rPr>
          <w:lang w:val="es-CO"/>
        </w:rPr>
        <w:t>58.</w:t>
      </w:r>
      <w:r w:rsidRPr="0079649D">
        <w:rPr>
          <w:lang w:val="es-CO"/>
        </w:rPr>
        <w:tab/>
        <w:t>DANE - Pobreza multidimensional 2022 [Internet]. [citado 13 de mayo de 2025]. Disponible en: https://www.dane.gov.co/index.php/estadisticas-por-tema/pobreza-y-condiciones-de-vida/pobreza-multidimensional/pobreza-multidimensional-2022</w:t>
      </w:r>
    </w:p>
    <w:p w14:paraId="4BCC2448" w14:textId="77777777" w:rsidR="008F1217" w:rsidRPr="0079649D" w:rsidRDefault="008F1217" w:rsidP="008F1217">
      <w:pPr>
        <w:pStyle w:val="Bibliografa"/>
        <w:rPr>
          <w:lang w:val="es-CO"/>
        </w:rPr>
      </w:pPr>
      <w:r w:rsidRPr="0079649D">
        <w:rPr>
          <w:lang w:val="es-CO"/>
        </w:rPr>
        <w:t>59.</w:t>
      </w:r>
      <w:r w:rsidRPr="0079649D">
        <w:rPr>
          <w:lang w:val="es-CO"/>
        </w:rPr>
        <w:tab/>
        <w:t>DANE - Pobreza multidimensional 2021 [Internet]. [citado 13 de mayo de 2025]. Disponible en: https://www.dane.gov.co/index.php/estadisticas-por-tema/pobreza-y-condiciones-de-vida/pobreza-multidimensional/pobreza-multidimensional-2021</w:t>
      </w:r>
    </w:p>
    <w:p w14:paraId="7198C794" w14:textId="77777777" w:rsidR="008F1217" w:rsidRPr="0079649D" w:rsidRDefault="008F1217" w:rsidP="008F1217">
      <w:pPr>
        <w:pStyle w:val="Bibliografa"/>
        <w:rPr>
          <w:lang w:val="es-CO"/>
        </w:rPr>
      </w:pPr>
      <w:r w:rsidRPr="0079649D">
        <w:rPr>
          <w:lang w:val="es-CO"/>
        </w:rPr>
        <w:t>60.</w:t>
      </w:r>
      <w:r w:rsidRPr="0079649D">
        <w:rPr>
          <w:lang w:val="es-CO"/>
        </w:rPr>
        <w:tab/>
        <w:t xml:space="preserve">Bonet‐Morón J, Ricciulli‐Marín D, Pérez‐Valbuena GJ, Galvis‐Aponte LA, Haddad EA, Araújo IF, et al. </w:t>
      </w:r>
      <w:r>
        <w:t xml:space="preserve">Regional economic impact of COVID‐19 in Colombia: An input–output approach. </w:t>
      </w:r>
      <w:r w:rsidRPr="0079649D">
        <w:rPr>
          <w:lang w:val="es-CO"/>
        </w:rPr>
        <w:t>Reg Sci Policy Pract. diciembre de 2020;12(6):1123-50. doi:10.1111/rsp3.12320</w:t>
      </w:r>
    </w:p>
    <w:p w14:paraId="0D2D686A" w14:textId="77777777" w:rsidR="008F1217" w:rsidRPr="0079649D" w:rsidRDefault="008F1217" w:rsidP="008F1217">
      <w:pPr>
        <w:pStyle w:val="Bibliografa"/>
        <w:rPr>
          <w:lang w:val="es-CO"/>
        </w:rPr>
      </w:pPr>
      <w:r w:rsidRPr="0079649D">
        <w:rPr>
          <w:lang w:val="es-CO"/>
        </w:rPr>
        <w:t>61.</w:t>
      </w:r>
      <w:r w:rsidRPr="0079649D">
        <w:rPr>
          <w:lang w:val="es-CO"/>
        </w:rPr>
        <w:tab/>
        <w:t xml:space="preserve">Moreno-Montoya J, Ballesteros SM, Idrovo AJ. </w:t>
      </w:r>
      <w:r>
        <w:t xml:space="preserve">COVID-19 distribution in Bogotá, Colombia: effect of poverty during the first 2 months of pandemic. </w:t>
      </w:r>
      <w:r w:rsidRPr="0079649D">
        <w:rPr>
          <w:lang w:val="es-CO"/>
        </w:rPr>
        <w:t>J Epidemiol Community Health. febrero de 2022;76(2):116-20. doi:10.1136/jech-2020-214579</w:t>
      </w:r>
    </w:p>
    <w:p w14:paraId="220B5080" w14:textId="77777777" w:rsidR="008F1217" w:rsidRPr="0079649D" w:rsidRDefault="008F1217" w:rsidP="008F1217">
      <w:pPr>
        <w:pStyle w:val="Bibliografa"/>
        <w:rPr>
          <w:lang w:val="es-CO"/>
        </w:rPr>
      </w:pPr>
      <w:r w:rsidRPr="0079649D">
        <w:rPr>
          <w:lang w:val="es-CO"/>
        </w:rPr>
        <w:t>62.</w:t>
      </w:r>
      <w:r w:rsidRPr="0079649D">
        <w:rPr>
          <w:lang w:val="es-CO"/>
        </w:rPr>
        <w:tab/>
        <w:t>nota-macroeconomica-23.pdf [Internet]. [citado 15 de marzo de 2022]. Disponible en: https://repositorio.uniandes.edu.co/bitstream/handle/1992/41163/nota-macroeconomica-23.pdf?sequence=1&amp;isAllowed=y</w:t>
      </w:r>
    </w:p>
    <w:p w14:paraId="271BF580" w14:textId="77777777" w:rsidR="008F1217" w:rsidRDefault="008F1217" w:rsidP="008F1217">
      <w:pPr>
        <w:pStyle w:val="Bibliografa"/>
      </w:pPr>
      <w:r w:rsidRPr="0079649D">
        <w:rPr>
          <w:lang w:val="es-CO"/>
        </w:rPr>
        <w:t>63.</w:t>
      </w:r>
      <w:r w:rsidRPr="0079649D">
        <w:rPr>
          <w:lang w:val="es-CO"/>
        </w:rPr>
        <w:tab/>
        <w:t xml:space="preserve">Laajaj R, De Los Rios C, Sarmiento-Barbieri I, Aristizabal D, Behrentz E, Bernal R, et al. </w:t>
      </w:r>
      <w:r>
        <w:t>COVID-19 spread, detection, and dynamics in Bogota, Colombia. Nat Commun. diciembre de 2021;12(1):4726. doi:10.1038/s41467-021-25038-z</w:t>
      </w:r>
    </w:p>
    <w:p w14:paraId="76A5EF69" w14:textId="77777777" w:rsidR="008F1217" w:rsidRDefault="008F1217" w:rsidP="008F1217">
      <w:pPr>
        <w:pStyle w:val="Bibliografa"/>
      </w:pPr>
      <w:r>
        <w:t>64.</w:t>
      </w:r>
      <w:r>
        <w:tab/>
        <w:t>Cuesta J, Pico J. The Gendered Poverty Effects of the COVID-19 Pandemic in Colombia. Eur J Dev Res. diciembre de 2020;32(5):1558-91. doi:10.1057/s41287-020-00328-2</w:t>
      </w:r>
    </w:p>
    <w:p w14:paraId="56DE8D06" w14:textId="77777777" w:rsidR="008F1217" w:rsidRDefault="008F1217" w:rsidP="008F1217">
      <w:pPr>
        <w:pStyle w:val="Bibliografa"/>
      </w:pPr>
      <w:r>
        <w:t>65.</w:t>
      </w:r>
      <w:r>
        <w:tab/>
        <w:t>Baisotti P, Moscuzza P. Reframing Globalization After COVID-19: Pandemic Diplomacy amid the Failure of Multilateral Cooperation. Liverpool University Press; 2022. 303 p.</w:t>
      </w:r>
    </w:p>
    <w:p w14:paraId="32D4FF04" w14:textId="77777777" w:rsidR="008F1217" w:rsidRPr="0079649D" w:rsidRDefault="008F1217" w:rsidP="008F1217">
      <w:pPr>
        <w:pStyle w:val="Bibliografa"/>
        <w:rPr>
          <w:lang w:val="es-CO"/>
        </w:rPr>
      </w:pPr>
      <w:r>
        <w:t>66.</w:t>
      </w:r>
      <w:r>
        <w:tab/>
        <w:t xml:space="preserve">Ossai EC. COVID-19 and Peace in Conflict-Affected Areas. </w:t>
      </w:r>
      <w:r w:rsidRPr="0079649D">
        <w:rPr>
          <w:lang w:val="es-CO"/>
        </w:rPr>
        <w:t>Encyclopedia. 28 de septiembre de 2022;2(4):1678-87. doi:10.3390/encyclopedia2040114</w:t>
      </w:r>
    </w:p>
    <w:p w14:paraId="3047FC25" w14:textId="77777777" w:rsidR="008F1217" w:rsidRDefault="008F1217" w:rsidP="008F1217">
      <w:pPr>
        <w:pStyle w:val="Bibliografa"/>
      </w:pPr>
      <w:r>
        <w:t>67.</w:t>
      </w:r>
      <w:r>
        <w:tab/>
        <w:t>Franco S, Suarez CM, Naranjo CB, Báez LC, Rozo P. The effects of the armed conflict on the life and health in Colombia. Ciênc Saúde Coletiva. 2006;11:349-61.</w:t>
      </w:r>
    </w:p>
    <w:p w14:paraId="54A0DA0D" w14:textId="77777777" w:rsidR="008F1217" w:rsidRPr="0079649D" w:rsidRDefault="008F1217" w:rsidP="008F1217">
      <w:pPr>
        <w:pStyle w:val="Bibliografa"/>
        <w:rPr>
          <w:lang w:val="es-CO"/>
        </w:rPr>
      </w:pPr>
      <w:r>
        <w:lastRenderedPageBreak/>
        <w:t>68.</w:t>
      </w:r>
      <w:r>
        <w:tab/>
        <w:t xml:space="preserve">Loaiza O, Munetón G, Vanegas G. The relationship between multidimensional poverty and armed conflict: the case of Antioquia, Colombia. </w:t>
      </w:r>
      <w:r w:rsidRPr="0079649D">
        <w:rPr>
          <w:lang w:val="es-CO"/>
        </w:rPr>
        <w:t>2014.</w:t>
      </w:r>
    </w:p>
    <w:p w14:paraId="39DA10EB" w14:textId="77777777" w:rsidR="008F1217" w:rsidRDefault="008F1217" w:rsidP="008F1217">
      <w:pPr>
        <w:pStyle w:val="Bibliografa"/>
      </w:pPr>
      <w:r w:rsidRPr="0079649D">
        <w:rPr>
          <w:lang w:val="es-CO"/>
        </w:rPr>
        <w:t>69.</w:t>
      </w:r>
      <w:r w:rsidRPr="0079649D">
        <w:rPr>
          <w:lang w:val="es-CO"/>
        </w:rPr>
        <w:tab/>
        <w:t xml:space="preserve">Trejos L, Badillo R. Pandemia y conflictos armados en el Caribe colombiano: Informe sobre la violencia armada en el 2020 (Pandemic and Armed Conflict in the Colombian Caribbean: A Report on Armed Violence in 2020). </w:t>
      </w:r>
      <w:r>
        <w:t>SSRN Electron J. 2021. doi:10.2139/ssrn.3773263</w:t>
      </w:r>
    </w:p>
    <w:p w14:paraId="7DC7EC4C" w14:textId="77777777" w:rsidR="008F1217" w:rsidRDefault="008F1217" w:rsidP="008F1217">
      <w:pPr>
        <w:pStyle w:val="Bibliografa"/>
      </w:pPr>
      <w:r>
        <w:t>70.</w:t>
      </w:r>
      <w:r>
        <w:tab/>
        <w:t>De Benedictis G, Franceschi C. The unusual genetics of human longevity. Sci Aging Knowl Environ. 2006;2006(10):pe20-pe20.</w:t>
      </w:r>
    </w:p>
    <w:p w14:paraId="79C11325" w14:textId="77777777" w:rsidR="008F1217" w:rsidRDefault="008F1217" w:rsidP="008F1217">
      <w:pPr>
        <w:pStyle w:val="Bibliografa"/>
      </w:pPr>
      <w:r>
        <w:t>71.</w:t>
      </w:r>
      <w:r>
        <w:tab/>
        <w:t>Caruso C, Accardi G, Aiello A, Calabrò A, Ligotti ME, Candore G. Centenarians born before 1919 are resistant to COVID-19. Aging Clin Exp Res. 2023;35(1):217-20.</w:t>
      </w:r>
    </w:p>
    <w:p w14:paraId="7F08763D" w14:textId="77777777" w:rsidR="008F1217" w:rsidRPr="0079649D" w:rsidRDefault="008F1217" w:rsidP="008F1217">
      <w:pPr>
        <w:pStyle w:val="Bibliografa"/>
        <w:rPr>
          <w:lang w:val="es-CO"/>
        </w:rPr>
      </w:pPr>
      <w:r>
        <w:t>72.</w:t>
      </w:r>
      <w:r>
        <w:tab/>
        <w:t xml:space="preserve">Marcon G, Tettamanti M, Capacci G, Fontanel G, Spanò M, Nobili A, et al. COVID-19 mortality in Lombardy: the vulnerability of the oldest old and the resilience of male centenarians. </w:t>
      </w:r>
      <w:r w:rsidRPr="0079649D">
        <w:rPr>
          <w:lang w:val="es-CO"/>
        </w:rPr>
        <w:t>Aging. 2020;12(15):15186.</w:t>
      </w:r>
    </w:p>
    <w:p w14:paraId="02ACEF7C" w14:textId="77777777" w:rsidR="008F1217" w:rsidRPr="0079649D" w:rsidRDefault="008F1217" w:rsidP="008F1217">
      <w:pPr>
        <w:pStyle w:val="Bibliografa"/>
        <w:rPr>
          <w:lang w:val="es-CO"/>
        </w:rPr>
      </w:pPr>
      <w:r w:rsidRPr="0079649D">
        <w:rPr>
          <w:lang w:val="es-CO"/>
        </w:rPr>
        <w:t>73.</w:t>
      </w:r>
      <w:r w:rsidRPr="0079649D">
        <w:rPr>
          <w:lang w:val="es-CO"/>
        </w:rPr>
        <w:tab/>
        <w:t xml:space="preserve">de Castro MV, Silva MV, Naslavsky MS, Scliar MO, Nunes K, Passos-Bueno MR, et al. </w:t>
      </w:r>
      <w:r>
        <w:t xml:space="preserve">The oldest unvaccinated Covid-19 survivors in South America. Immun Ageing. </w:t>
      </w:r>
      <w:r w:rsidRPr="0079649D">
        <w:rPr>
          <w:lang w:val="es-CO"/>
        </w:rPr>
        <w:t>2022;19(1):57.</w:t>
      </w:r>
    </w:p>
    <w:p w14:paraId="3F6C1C1F" w14:textId="77777777" w:rsidR="008F1217" w:rsidRDefault="008F1217" w:rsidP="008F1217">
      <w:pPr>
        <w:pStyle w:val="Bibliografa"/>
      </w:pPr>
      <w:r w:rsidRPr="0079649D">
        <w:rPr>
          <w:lang w:val="es-CO"/>
        </w:rPr>
        <w:t>74.</w:t>
      </w:r>
      <w:r w:rsidRPr="0079649D">
        <w:rPr>
          <w:lang w:val="es-CO"/>
        </w:rPr>
        <w:tab/>
        <w:t xml:space="preserve">Lozada-Martinez ID, Marín JS, Castelblanco-Toro SM, Mazenett-Granados EA, Suárez JF, Sarmiento M, et al. </w:t>
      </w:r>
      <w:r>
        <w:t>Demographics and clinical characteristics of a new population of Centenarians in Colombia. The COOLCEN cohort. Arch Gerontol Geriatr Plus. 2024;100006.</w:t>
      </w:r>
    </w:p>
    <w:p w14:paraId="317FB452" w14:textId="77777777" w:rsidR="008F1217" w:rsidRPr="0079649D" w:rsidRDefault="008F1217" w:rsidP="008F1217">
      <w:pPr>
        <w:pStyle w:val="Bibliografa"/>
        <w:rPr>
          <w:lang w:val="es-CO"/>
        </w:rPr>
      </w:pPr>
      <w:r>
        <w:t>75.</w:t>
      </w:r>
      <w:r>
        <w:tab/>
        <w:t xml:space="preserve">Guerini FR, Cesari M, Arosio B. Hypothetical COVID-19 protection mechanism: hints from centenarians. </w:t>
      </w:r>
      <w:r w:rsidRPr="0079649D">
        <w:rPr>
          <w:lang w:val="es-CO"/>
        </w:rPr>
        <w:t>Immun Ageing. 2021;18(1):1-5.</w:t>
      </w:r>
    </w:p>
    <w:p w14:paraId="0B357D37" w14:textId="77777777" w:rsidR="008F1217" w:rsidRDefault="008F1217" w:rsidP="008F1217">
      <w:pPr>
        <w:pStyle w:val="Bibliografa"/>
      </w:pPr>
      <w:r w:rsidRPr="0079649D">
        <w:rPr>
          <w:lang w:val="es-CO"/>
        </w:rPr>
        <w:t>76.</w:t>
      </w:r>
      <w:r w:rsidRPr="0079649D">
        <w:rPr>
          <w:lang w:val="es-CO"/>
        </w:rPr>
        <w:tab/>
        <w:t xml:space="preserve">Morales LF, Bonilla-Mejía L, Pulido J, Flórez LA, Hermida D, Pulido-Mahecha KL, et al. </w:t>
      </w:r>
      <w:r>
        <w:t>Effects of the COVID-19 pandemic on the Colombian labour market: Disentangling the effect of sector-specific mobility restrictions. Can J Econ Can Déconomique. 2022;55(S1):308-57. doi:10.1111/caje.12549</w:t>
      </w:r>
    </w:p>
    <w:p w14:paraId="1E116F24" w14:textId="77777777" w:rsidR="008F1217" w:rsidRDefault="008F1217" w:rsidP="008F1217">
      <w:pPr>
        <w:pStyle w:val="Bibliografa"/>
      </w:pPr>
      <w:r>
        <w:t>77.</w:t>
      </w:r>
      <w:r>
        <w:tab/>
        <w:t>Zaremba A, Aharon DY, Demir E, Kizys R, Zawadka D. COVID-19, government policy responses, and stock market liquidity around the world: A note. Res Int Bus Finance. abril de 2021;56:101359. doi:10.1016/j.ribaf.2020.101359</w:t>
      </w:r>
    </w:p>
    <w:p w14:paraId="1DE1687C" w14:textId="77777777" w:rsidR="008F1217" w:rsidRDefault="008F1217" w:rsidP="008F1217">
      <w:pPr>
        <w:pStyle w:val="Bibliografa"/>
      </w:pPr>
      <w:r>
        <w:t>78.</w:t>
      </w:r>
      <w:r>
        <w:tab/>
        <w:t>Millán-Guerrero RO, Caballero-Hoyos R, Monárrez-Espino J. Poverty and survival from COVID-19 in Mexico. J Public Health. 1 de septiembre de 2021;43(3):437-44. doi:10.1093/pubmed/fdaa228</w:t>
      </w:r>
    </w:p>
    <w:p w14:paraId="6B721D8F" w14:textId="77777777" w:rsidR="008F1217" w:rsidRPr="0079649D" w:rsidRDefault="008F1217" w:rsidP="008F1217">
      <w:pPr>
        <w:pStyle w:val="Bibliografa"/>
        <w:rPr>
          <w:lang w:val="es-CO"/>
        </w:rPr>
      </w:pPr>
      <w:r>
        <w:t>79.</w:t>
      </w:r>
      <w:r>
        <w:tab/>
        <w:t xml:space="preserve">Prada SI, Garcia-Garcia MP, Guzman J. COVID-19 response in Colombia: Hits and misses. </w:t>
      </w:r>
      <w:r w:rsidRPr="0079649D">
        <w:rPr>
          <w:lang w:val="es-CO"/>
        </w:rPr>
        <w:t>Health Policy Technol. junio de 2022;11(2):100621. doi:10.1016/j.hlpt.2022.100621</w:t>
      </w:r>
    </w:p>
    <w:p w14:paraId="13E4DFDA" w14:textId="77777777" w:rsidR="008F1217" w:rsidRPr="0079649D" w:rsidRDefault="008F1217" w:rsidP="008F1217">
      <w:pPr>
        <w:pStyle w:val="Bibliografa"/>
        <w:rPr>
          <w:lang w:val="es-CO"/>
        </w:rPr>
      </w:pPr>
      <w:r w:rsidRPr="0079649D">
        <w:rPr>
          <w:lang w:val="es-CO"/>
        </w:rPr>
        <w:t>80.</w:t>
      </w:r>
      <w:r w:rsidRPr="0079649D">
        <w:rPr>
          <w:lang w:val="es-CO"/>
        </w:rPr>
        <w:tab/>
      </w:r>
      <w:bookmarkStart w:id="101" w:name="_GoBack"/>
      <w:r w:rsidRPr="0079649D">
        <w:rPr>
          <w:lang w:val="es-CO"/>
        </w:rPr>
        <w:t>Caicedo-Velásquez B, Cifuentes-Ríos AM, Caicedo-Velásquez B, Cifuentes-Ríos AM. Distribución espacial de la mortalidad por COVID-19 y su asociación con condiciones sociodemográficas en Antioquia-Colombia. Hacia Promoc Salud. diciembre de 2023;28(2):64-81. doi:10.17151/hpsal.2023.28.2.5</w:t>
      </w:r>
    </w:p>
    <w:bookmarkEnd w:id="101"/>
    <w:p w14:paraId="4E6C6D0F" w14:textId="77777777" w:rsidR="008F1217" w:rsidRPr="0079649D" w:rsidRDefault="008F1217" w:rsidP="008F1217">
      <w:pPr>
        <w:pStyle w:val="Bibliografa"/>
        <w:rPr>
          <w:lang w:val="es-CO"/>
        </w:rPr>
      </w:pPr>
      <w:r w:rsidRPr="0079649D">
        <w:rPr>
          <w:lang w:val="es-CO"/>
        </w:rPr>
        <w:lastRenderedPageBreak/>
        <w:t>81.</w:t>
      </w:r>
      <w:r w:rsidRPr="0079649D">
        <w:rPr>
          <w:lang w:val="es-CO"/>
        </w:rPr>
        <w:tab/>
        <w:t xml:space="preserve">Polo G, Soler-Tovar D, Jimenez LCV, Benavides-Ortiz E, Acosta CM. </w:t>
      </w:r>
      <w:r>
        <w:t xml:space="preserve">Bayesian spatial modeling of COVID-19 case-fatality rate inequalities. Spat Spatio-Temporal Epidemiol. </w:t>
      </w:r>
      <w:r w:rsidRPr="0079649D">
        <w:rPr>
          <w:lang w:val="es-CO"/>
        </w:rPr>
        <w:t>2022;41:100494.</w:t>
      </w:r>
    </w:p>
    <w:p w14:paraId="30A0C180" w14:textId="77777777" w:rsidR="008F1217" w:rsidRPr="0079649D" w:rsidRDefault="008F1217" w:rsidP="008F1217">
      <w:pPr>
        <w:pStyle w:val="Bibliografa"/>
        <w:rPr>
          <w:lang w:val="es-CO"/>
        </w:rPr>
      </w:pPr>
      <w:r w:rsidRPr="0079649D">
        <w:rPr>
          <w:lang w:val="es-CO"/>
        </w:rPr>
        <w:t>82.</w:t>
      </w:r>
      <w:r w:rsidRPr="0079649D">
        <w:rPr>
          <w:lang w:val="es-CO"/>
        </w:rPr>
        <w:tab/>
        <w:t>Coronavirus Colombia [Internet]. [citado 12 de junio de 2023]. Disponible en: https://www.ins.gov.co/Noticias/Paginas/Coronavirus.aspx</w:t>
      </w:r>
    </w:p>
    <w:p w14:paraId="222C184E" w14:textId="77777777" w:rsidR="008F1217" w:rsidRPr="0079649D" w:rsidRDefault="008F1217" w:rsidP="008F1217">
      <w:pPr>
        <w:pStyle w:val="Bibliografa"/>
        <w:rPr>
          <w:lang w:val="es-CO"/>
        </w:rPr>
      </w:pPr>
      <w:r w:rsidRPr="0079649D">
        <w:rPr>
          <w:lang w:val="es-CO"/>
        </w:rPr>
        <w:t>83.</w:t>
      </w:r>
      <w:r w:rsidRPr="0079649D">
        <w:rPr>
          <w:lang w:val="es-CO"/>
        </w:rPr>
        <w:tab/>
        <w:t>DANE - Pobreza multidimensional [Internet]. [citado 12 de junio de 2023]. Disponible en: https://www.dane.gov.co/index.php/estadisticas-por-tema/pobreza-y-condiciones-de-vida/pobreza-multidimensional</w:t>
      </w:r>
    </w:p>
    <w:p w14:paraId="10AD22C9" w14:textId="77777777" w:rsidR="008F1217" w:rsidRPr="0079649D" w:rsidRDefault="008F1217" w:rsidP="008F1217">
      <w:pPr>
        <w:pStyle w:val="Bibliografa"/>
        <w:rPr>
          <w:lang w:val="es-CO"/>
        </w:rPr>
      </w:pPr>
      <w:r>
        <w:t>84.</w:t>
      </w:r>
      <w:r>
        <w:tab/>
        <w:t xml:space="preserve">Alkire S, Foster J. Counting and multidimensional poverty measurement. </w:t>
      </w:r>
      <w:r w:rsidRPr="0079649D">
        <w:rPr>
          <w:lang w:val="es-CO"/>
        </w:rPr>
        <w:t>J Public Econ. agosto de 2011;95(7-8):476-87. doi:10.1016/j.jpubeco.2010.11.006</w:t>
      </w:r>
    </w:p>
    <w:p w14:paraId="5D1C2035" w14:textId="77777777" w:rsidR="008F1217" w:rsidRPr="0079649D" w:rsidRDefault="008F1217" w:rsidP="008F1217">
      <w:pPr>
        <w:pStyle w:val="Bibliografa"/>
        <w:rPr>
          <w:lang w:val="es-CO"/>
        </w:rPr>
      </w:pPr>
      <w:r w:rsidRPr="0079649D">
        <w:rPr>
          <w:lang w:val="es-CO"/>
        </w:rPr>
        <w:t>85.</w:t>
      </w:r>
      <w:r w:rsidRPr="0079649D">
        <w:rPr>
          <w:lang w:val="es-CO"/>
        </w:rPr>
        <w:tab/>
        <w:t>LEY 136 DE 1994 [Internet]. [citado 13 de diciembre de 2023]. Disponible en: https://www.suin-juriscol.gov.co/viewDocument.asp?ruta=Leyes/1648916</w:t>
      </w:r>
    </w:p>
    <w:p w14:paraId="1B0C6B05" w14:textId="77777777" w:rsidR="008F1217" w:rsidRPr="0079649D" w:rsidRDefault="008F1217" w:rsidP="008F1217">
      <w:pPr>
        <w:pStyle w:val="Bibliografa"/>
        <w:rPr>
          <w:lang w:val="es-CO"/>
        </w:rPr>
      </w:pPr>
      <w:r>
        <w:t>86.</w:t>
      </w:r>
      <w:r>
        <w:tab/>
        <w:t xml:space="preserve">Angulo R, Díaz Y, Pardo R. The Colombian Multidimensional Poverty Index: Measuring Poverty in a Public Policy Context. </w:t>
      </w:r>
      <w:r w:rsidRPr="0079649D">
        <w:rPr>
          <w:lang w:val="es-CO"/>
        </w:rPr>
        <w:t>Soc Indic Res. 1 de mayo de 2016;127(1):1-38. doi:10.1007/s11205-015-0964-z</w:t>
      </w:r>
    </w:p>
    <w:p w14:paraId="46726985" w14:textId="77777777" w:rsidR="008F1217" w:rsidRPr="0079649D" w:rsidRDefault="008F1217" w:rsidP="008F1217">
      <w:pPr>
        <w:pStyle w:val="Bibliografa"/>
        <w:rPr>
          <w:lang w:val="es-CO"/>
        </w:rPr>
      </w:pPr>
      <w:r w:rsidRPr="0079649D">
        <w:rPr>
          <w:lang w:val="es-CO"/>
        </w:rPr>
        <w:t>87.</w:t>
      </w:r>
      <w:r w:rsidRPr="0079649D">
        <w:rPr>
          <w:lang w:val="es-CO"/>
        </w:rPr>
        <w:tab/>
        <w:t>Colombia | MPPN [Internet]. [citado 16 de octubre de 2023]. Disponible en: https://www.mppn.org/es/paises_participantes/colombia/</w:t>
      </w:r>
    </w:p>
    <w:p w14:paraId="2E46F0D4" w14:textId="77777777" w:rsidR="008F1217" w:rsidRPr="0079649D" w:rsidRDefault="008F1217" w:rsidP="008F1217">
      <w:pPr>
        <w:pStyle w:val="Bibliografa"/>
        <w:rPr>
          <w:lang w:val="es-CO"/>
        </w:rPr>
      </w:pPr>
      <w:r w:rsidRPr="0079649D">
        <w:rPr>
          <w:lang w:val="es-CO"/>
        </w:rPr>
        <w:t>88.</w:t>
      </w:r>
      <w:r w:rsidRPr="0079649D">
        <w:rPr>
          <w:lang w:val="es-CO"/>
        </w:rPr>
        <w:tab/>
        <w:t>CONSTITUCIÓN POLÍTICA [Internet]. [citado 13 de diciembre de 2023]. Disponible en: http://www.secretariasenado.gov.co/constitucion-politica</w:t>
      </w:r>
    </w:p>
    <w:p w14:paraId="7291C2DD" w14:textId="77777777" w:rsidR="008F1217" w:rsidRPr="0079649D" w:rsidRDefault="008F1217" w:rsidP="008F1217">
      <w:pPr>
        <w:pStyle w:val="Bibliografa"/>
        <w:rPr>
          <w:lang w:val="es-CO"/>
        </w:rPr>
      </w:pPr>
      <w:r w:rsidRPr="0079649D">
        <w:rPr>
          <w:lang w:val="es-CO"/>
        </w:rPr>
        <w:t>89.</w:t>
      </w:r>
      <w:r w:rsidRPr="0079649D">
        <w:rPr>
          <w:lang w:val="es-CO"/>
        </w:rPr>
        <w:tab/>
        <w:t>Ley 1551 de 2012 - Gestor Normativo - Función Pública [Internet]. [citado 13 de diciembre de 2023]. Disponible en: https://www.funcionpublica.gov.co/eva/gestornormativo/norma.php?i=48267</w:t>
      </w:r>
    </w:p>
    <w:p w14:paraId="5CED8DEC" w14:textId="77777777" w:rsidR="008F1217" w:rsidRPr="0079649D" w:rsidRDefault="008F1217" w:rsidP="008F1217">
      <w:pPr>
        <w:pStyle w:val="Bibliografa"/>
        <w:rPr>
          <w:lang w:val="es-CO"/>
        </w:rPr>
      </w:pPr>
      <w:r w:rsidRPr="0079649D">
        <w:rPr>
          <w:lang w:val="es-CO"/>
        </w:rPr>
        <w:t>90.</w:t>
      </w:r>
      <w:r w:rsidRPr="0079649D">
        <w:rPr>
          <w:lang w:val="es-CO"/>
        </w:rPr>
        <w:tab/>
        <w:t>DANE - Proyecciones de población [Internet]. [citado 26 de octubre de 2024]. Disponible en: https://www.dane.gov.co/index.php/estadisticas-por-tema/demografia-y-poblacion/proyecciones-de-poblacion</w:t>
      </w:r>
    </w:p>
    <w:p w14:paraId="206A7778" w14:textId="77777777" w:rsidR="008F1217" w:rsidRPr="0079649D" w:rsidRDefault="008F1217" w:rsidP="008F1217">
      <w:pPr>
        <w:pStyle w:val="Bibliografa"/>
        <w:rPr>
          <w:lang w:val="es-CO"/>
        </w:rPr>
      </w:pPr>
      <w:r>
        <w:t>91.</w:t>
      </w:r>
      <w:r>
        <w:tab/>
        <w:t xml:space="preserve">Home - United Nations Sustainable Development [Internet]. </w:t>
      </w:r>
      <w:r w:rsidRPr="0079649D">
        <w:rPr>
          <w:lang w:val="es-CO"/>
        </w:rPr>
        <w:t>[citado 13 de abril de 2024]. Disponible en: https://www.un.org/sustainabledevelopment/</w:t>
      </w:r>
    </w:p>
    <w:p w14:paraId="2F75FD2D" w14:textId="77777777" w:rsidR="008F1217" w:rsidRDefault="008F1217" w:rsidP="008F1217">
      <w:pPr>
        <w:pStyle w:val="Bibliografa"/>
      </w:pPr>
      <w:r>
        <w:t>92.</w:t>
      </w:r>
      <w:r>
        <w:tab/>
        <w:t>Zhuo J, Harrigan N. Low education predicts large increase in COVID-19 mortality: the role of collective culture and individual literacy. Public Health. 1 de agosto de 2023;221:201-7. doi:10.1016/j.puhe.2023.06.016</w:t>
      </w:r>
    </w:p>
    <w:p w14:paraId="5C7E853B" w14:textId="77777777" w:rsidR="008F1217" w:rsidRPr="0079649D" w:rsidRDefault="008F1217" w:rsidP="008F1217">
      <w:pPr>
        <w:pStyle w:val="Bibliografa"/>
        <w:rPr>
          <w:lang w:val="es-CO"/>
        </w:rPr>
      </w:pPr>
      <w:r>
        <w:t>93.</w:t>
      </w:r>
      <w:r>
        <w:tab/>
        <w:t xml:space="preserve">Matthay EC, Duchowny KA, Riley AR, Thomas MD, Chen YH, Bibbins-Domingo K, et al. Occupation and Educational Attainment Characteristics Associated With COVID-19 Mortality by Race and Ethnicity in California. </w:t>
      </w:r>
      <w:r w:rsidRPr="0079649D">
        <w:rPr>
          <w:lang w:val="es-CO"/>
        </w:rPr>
        <w:t>JAMA Netw Open. 22 de abril de 2022;5(4):e228406. doi:10.1001/jamanetworkopen.2022.8406</w:t>
      </w:r>
    </w:p>
    <w:p w14:paraId="7CCA191F" w14:textId="77777777" w:rsidR="008F1217" w:rsidRDefault="008F1217" w:rsidP="008F1217">
      <w:pPr>
        <w:pStyle w:val="Bibliografa"/>
      </w:pPr>
      <w:r w:rsidRPr="0079649D">
        <w:rPr>
          <w:lang w:val="es-CO"/>
        </w:rPr>
        <w:t>94.</w:t>
      </w:r>
      <w:r w:rsidRPr="0079649D">
        <w:rPr>
          <w:lang w:val="es-CO"/>
        </w:rPr>
        <w:tab/>
        <w:t xml:space="preserve">Mosquera JAP, Scarpeta NLP. Impacto de la Pandemia en la Calidad del Sistema Educativo Colombiano. </w:t>
      </w:r>
      <w:r>
        <w:t>Cienc Lat Rev Científica Multidiscip. 2023;7(5):5816-40.</w:t>
      </w:r>
    </w:p>
    <w:p w14:paraId="7032C1A8" w14:textId="77777777" w:rsidR="008F1217" w:rsidRDefault="008F1217" w:rsidP="008F1217">
      <w:pPr>
        <w:pStyle w:val="Bibliografa"/>
      </w:pPr>
      <w:r>
        <w:lastRenderedPageBreak/>
        <w:t>95.</w:t>
      </w:r>
      <w:r>
        <w:tab/>
        <w:t>Moore TG, McDonald M, Carlon L, O’Rourke K. Early childhood development and the social determinants of health inequities. Health Promot Int. 1 de septiembre de 2015;30(suppl_2):ii102-15. doi:10.1093/heapro/dav031</w:t>
      </w:r>
    </w:p>
    <w:p w14:paraId="663C2C8F" w14:textId="77777777" w:rsidR="008F1217" w:rsidRPr="0079649D" w:rsidRDefault="008F1217" w:rsidP="008F1217">
      <w:pPr>
        <w:pStyle w:val="Bibliografa"/>
        <w:rPr>
          <w:lang w:val="es-CO"/>
        </w:rPr>
      </w:pPr>
      <w:r>
        <w:t>96.</w:t>
      </w:r>
      <w:r>
        <w:tab/>
        <w:t xml:space="preserve">Vandenbroeck M, Lazzari A. Accessibility of early childhood education and care: a state of affairs. </w:t>
      </w:r>
      <w:r w:rsidRPr="0079649D">
        <w:rPr>
          <w:lang w:val="es-CO"/>
        </w:rPr>
        <w:t>Eur Early Child Educ Res J. 27 de mayo de 2014;22(3):327-35. doi:10.1080/1350293X.2014.912895</w:t>
      </w:r>
    </w:p>
    <w:p w14:paraId="2D8664C2" w14:textId="77777777" w:rsidR="008F1217" w:rsidRDefault="008F1217" w:rsidP="008F1217">
      <w:pPr>
        <w:pStyle w:val="Bibliografa"/>
      </w:pPr>
      <w:r>
        <w:t>97.</w:t>
      </w:r>
      <w:r>
        <w:tab/>
        <w:t>Beatson R, Molloy C, Fehlberg Z, Perini N, Harrop C, Goldfeld S. Early Childhood Education Participation: A Mixed-Methods Study of Parent and Provider Perceived Barriers and Facilitators. J Child Fam Stud. 1 de noviembre de 2022;31(11):2929-46. doi:10.1007/s10826-022-02274-5</w:t>
      </w:r>
    </w:p>
    <w:p w14:paraId="17D43527" w14:textId="77777777" w:rsidR="008F1217" w:rsidRPr="0079649D" w:rsidRDefault="008F1217" w:rsidP="008F1217">
      <w:pPr>
        <w:pStyle w:val="Bibliografa"/>
        <w:rPr>
          <w:lang w:val="es-CO"/>
        </w:rPr>
      </w:pPr>
      <w:r>
        <w:t>98.</w:t>
      </w:r>
      <w:r>
        <w:tab/>
        <w:t xml:space="preserve">What happens when early childhood development meets women’s economic empowerment? </w:t>
      </w:r>
      <w:r w:rsidRPr="0079649D">
        <w:rPr>
          <w:lang w:val="es-CO"/>
        </w:rPr>
        <w:t>[Internet]. [citado 9 de diciembre de 2023]. Disponible en: https://blogs.worldbank.org/developmenttalk/what-happens-when-early-childhood-development-meets-womens-economic-empowerment</w:t>
      </w:r>
    </w:p>
    <w:p w14:paraId="4307E85E" w14:textId="77777777" w:rsidR="008F1217" w:rsidRPr="0079649D" w:rsidRDefault="008F1217" w:rsidP="008F1217">
      <w:pPr>
        <w:pStyle w:val="Bibliografa"/>
        <w:rPr>
          <w:lang w:val="es-CO"/>
        </w:rPr>
      </w:pPr>
      <w:r w:rsidRPr="0079649D">
        <w:rPr>
          <w:lang w:val="es-CO"/>
        </w:rPr>
        <w:t>99.</w:t>
      </w:r>
      <w:r w:rsidRPr="0079649D">
        <w:rPr>
          <w:lang w:val="es-CO"/>
        </w:rPr>
        <w:tab/>
        <w:t>banco mundial y cuidado para la primera infancia - Buscar con Google [Internet]. [citado 9 de diciembre de 2023]. Disponible en: https://www.google.com/search?q=banco+mundial+y+cuidado+para+la+primera+infancia&amp;rlz=1C1GCEA_enCO1049CO1049&amp;oq=banco+mundial+y+cuidado+para+la+primer&amp;gs_lcrp=EgZjaHJvbWUqBwgBECEYoAEyBggAEEUYOTIHCAEQIRigATIHCAIQIRigATIKCAMQIRgWGB0YHtIBCjExMzQ5ajBqMTWoAgCwAgA&amp;sourceid=chrome&amp;ie=UTF-8</w:t>
      </w:r>
    </w:p>
    <w:p w14:paraId="216A37C4" w14:textId="77777777" w:rsidR="008F1217" w:rsidRPr="0079649D" w:rsidRDefault="008F1217" w:rsidP="008F1217">
      <w:pPr>
        <w:pStyle w:val="Bibliografa"/>
        <w:rPr>
          <w:lang w:val="es-CO"/>
        </w:rPr>
      </w:pPr>
      <w:r>
        <w:t>100.</w:t>
      </w:r>
      <w:r>
        <w:tab/>
        <w:t xml:space="preserve">Kaur N, Byard RW. Prevalence and potential consequences of child labour in India and the possible impact of COVID-19 – a contemporary overview. </w:t>
      </w:r>
      <w:r w:rsidRPr="0079649D">
        <w:rPr>
          <w:lang w:val="es-CO"/>
        </w:rPr>
        <w:t>Med Sci Law. 1 de julio de 2021;61(3):208-14. doi:10.1177/0025802421993364</w:t>
      </w:r>
    </w:p>
    <w:p w14:paraId="02EA16F9" w14:textId="77777777" w:rsidR="008F1217" w:rsidRPr="0079649D" w:rsidRDefault="008F1217" w:rsidP="008F1217">
      <w:pPr>
        <w:pStyle w:val="Bibliografa"/>
        <w:rPr>
          <w:lang w:val="es-CO"/>
        </w:rPr>
      </w:pPr>
      <w:r w:rsidRPr="0079649D">
        <w:rPr>
          <w:lang w:val="es-CO"/>
        </w:rPr>
        <w:t>101.</w:t>
      </w:r>
      <w:r w:rsidRPr="0079649D">
        <w:rPr>
          <w:lang w:val="es-CO"/>
        </w:rPr>
        <w:tab/>
        <w:t>DANE - Empleo informal y seguridad social [Internet]. [citado 10 de diciembre de 2023]. Disponible en: https://www.dane.gov.co/index.php/estadisticas-por-tema/mercado-laboral/empleo-informal-y-seguridad-social</w:t>
      </w:r>
    </w:p>
    <w:p w14:paraId="69800DD8" w14:textId="77777777" w:rsidR="008F1217" w:rsidRDefault="008F1217" w:rsidP="008F1217">
      <w:pPr>
        <w:pStyle w:val="Bibliografa"/>
      </w:pPr>
      <w:r>
        <w:t>102.</w:t>
      </w:r>
      <w:r>
        <w:tab/>
        <w:t>Burström B, Tao W. Social determinants of health and inequalities in COVID-19. Eur J Public Health. 1 de agosto de 2020;30(4):617-8. doi:10.1093/eurpub/ckaa095</w:t>
      </w:r>
    </w:p>
    <w:p w14:paraId="70A00AEF" w14:textId="77777777" w:rsidR="008F1217" w:rsidRDefault="008F1217" w:rsidP="008F1217">
      <w:pPr>
        <w:pStyle w:val="Bibliografa"/>
      </w:pPr>
      <w:r>
        <w:t>103.</w:t>
      </w:r>
      <w:r>
        <w:tab/>
        <w:t>Shultz JM, Berg RC, Acevedo OAB, Cañas JAO, Escobar VAP, Muñoz O, et al. Complex correlates of Colombia’s COVID-19 surge. Lancet Reg Health – Am. 1 de noviembre de 2021;3. doi:10.1016/j.lana.2021.100072 PubMed PMID: 34541569.</w:t>
      </w:r>
    </w:p>
    <w:p w14:paraId="46D06025" w14:textId="77777777" w:rsidR="008F1217" w:rsidRDefault="008F1217" w:rsidP="008F1217">
      <w:pPr>
        <w:pStyle w:val="Bibliografa"/>
      </w:pPr>
      <w:r>
        <w:t>104.</w:t>
      </w:r>
      <w:r>
        <w:tab/>
        <w:t>Dubey S, Sahoo KC, Dash GC, Sahay MR, Mahapatra P, Bhattacharya D, et al. Housing-related challenges during COVID-19 pandemic among urban poor in low- and middle-income countries: A systematic review and gap analysis. Front Public Health. 23 de septiembre de 2022;10. doi:10.3389/fpubh.2022.1029394</w:t>
      </w:r>
    </w:p>
    <w:p w14:paraId="430545E1" w14:textId="77777777" w:rsidR="008F1217" w:rsidRDefault="008F1217" w:rsidP="008F1217">
      <w:pPr>
        <w:pStyle w:val="Bibliografa"/>
      </w:pPr>
      <w:r>
        <w:t>105.</w:t>
      </w:r>
      <w:r>
        <w:tab/>
        <w:t>Varshney K, Glodjo T, Adalbert J. Overcrowded housing increases risk for COVID-19 mortality: an ecological study. BMC Res Notes. 5 de abril de 2022;15(1):126. doi:10.1186/s13104-022-06015-1</w:t>
      </w:r>
    </w:p>
    <w:p w14:paraId="3C56ABCB" w14:textId="77777777" w:rsidR="008F1217" w:rsidRPr="0079649D" w:rsidRDefault="008F1217" w:rsidP="008F1217">
      <w:pPr>
        <w:pStyle w:val="Bibliografa"/>
        <w:rPr>
          <w:lang w:val="es-CO"/>
        </w:rPr>
      </w:pPr>
      <w:r>
        <w:lastRenderedPageBreak/>
        <w:t>106.</w:t>
      </w:r>
      <w:r>
        <w:tab/>
        <w:t xml:space="preserve">Ríos V, Denova-Gutiérrez E, Barquera S. Association between living in municipalities with high crowding conditions and poverty and mortality from COVID-19 in Mexico. </w:t>
      </w:r>
      <w:r w:rsidRPr="0079649D">
        <w:rPr>
          <w:lang w:val="es-CO"/>
        </w:rPr>
        <w:t>PLoS One. 2022;17(2):e0264137.</w:t>
      </w:r>
    </w:p>
    <w:p w14:paraId="64096987" w14:textId="77777777" w:rsidR="008F1217" w:rsidRPr="0079649D" w:rsidRDefault="008F1217" w:rsidP="008F1217">
      <w:pPr>
        <w:pStyle w:val="Bibliografa"/>
        <w:rPr>
          <w:lang w:val="es-CO"/>
        </w:rPr>
      </w:pPr>
      <w:r w:rsidRPr="0079649D">
        <w:rPr>
          <w:lang w:val="es-CO"/>
        </w:rPr>
        <w:t>107.</w:t>
      </w:r>
      <w:r w:rsidRPr="0079649D">
        <w:rPr>
          <w:lang w:val="es-CO"/>
        </w:rPr>
        <w:tab/>
        <w:t xml:space="preserve">Jaramillo-Echeverri J, Meisel-Roca A, Ramírez-Giraldo MT. </w:t>
      </w:r>
      <w:r>
        <w:t xml:space="preserve">More than 100 years of improvements in living standards: the case of Colombia. </w:t>
      </w:r>
      <w:r w:rsidRPr="0079649D">
        <w:rPr>
          <w:lang w:val="es-CO"/>
        </w:rPr>
        <w:t>Cliometrica. 2019;13(3):323-66.</w:t>
      </w:r>
    </w:p>
    <w:p w14:paraId="582257A1" w14:textId="77777777" w:rsidR="008F1217" w:rsidRDefault="008F1217" w:rsidP="008F1217">
      <w:pPr>
        <w:pStyle w:val="Bibliografa"/>
      </w:pPr>
      <w:r w:rsidRPr="0079649D">
        <w:rPr>
          <w:lang w:val="es-CO"/>
        </w:rPr>
        <w:t>108.</w:t>
      </w:r>
      <w:r w:rsidRPr="0079649D">
        <w:rPr>
          <w:lang w:val="es-CO"/>
        </w:rPr>
        <w:tab/>
        <w:t xml:space="preserve">Moreno Méndez JO. LOS RETOS DEL ACCESO A AGUA POTABLE Y SANEAMIENTO BÁSICO DE LAS ZONAS RURALES EN COLOMBIA. </w:t>
      </w:r>
      <w:r>
        <w:t>Rev Ing. enero de 2020;(49):28-37. doi:10.16924/revinge.49.5</w:t>
      </w:r>
    </w:p>
    <w:p w14:paraId="3888916F" w14:textId="77777777" w:rsidR="008F1217" w:rsidRPr="0079649D" w:rsidRDefault="008F1217" w:rsidP="008F1217">
      <w:pPr>
        <w:pStyle w:val="Bibliografa"/>
        <w:rPr>
          <w:lang w:val="es-CO"/>
        </w:rPr>
      </w:pPr>
      <w:r>
        <w:t>109.</w:t>
      </w:r>
      <w:r>
        <w:tab/>
        <w:t xml:space="preserve">Zaremba A, Aharon DY, Demir E, Kizys R, Zawadka D. COVID-19, government policy responses, and stock market liquidity around the world: A note. </w:t>
      </w:r>
      <w:r w:rsidRPr="0079649D">
        <w:rPr>
          <w:lang w:val="es-CO"/>
        </w:rPr>
        <w:t>Res Int Bus Finance. 2021;56:101359.</w:t>
      </w:r>
    </w:p>
    <w:p w14:paraId="6A400FE9" w14:textId="77777777" w:rsidR="008F1217" w:rsidRPr="0079649D" w:rsidRDefault="008F1217" w:rsidP="008F1217">
      <w:pPr>
        <w:pStyle w:val="Bibliografa"/>
        <w:rPr>
          <w:lang w:val="es-CO"/>
        </w:rPr>
      </w:pPr>
      <w:r w:rsidRPr="0079649D">
        <w:rPr>
          <w:lang w:val="es-CO"/>
        </w:rPr>
        <w:t>110.</w:t>
      </w:r>
      <w:r w:rsidRPr="0079649D">
        <w:rPr>
          <w:lang w:val="es-CO"/>
        </w:rPr>
        <w:tab/>
        <w:t xml:space="preserve">Morales LF, Bonilla‐Mejía L, Pulido J, Flórez LA, Hermida D, Pulido‐Mahecha KL, et al. </w:t>
      </w:r>
      <w:r>
        <w:t xml:space="preserve">Effects of the COVID‐19 pandemic on the Colombian labour market: Disentangling the effect of sector‐specific mobility restrictions. </w:t>
      </w:r>
      <w:r w:rsidRPr="0079649D">
        <w:rPr>
          <w:lang w:val="es-CO"/>
        </w:rPr>
        <w:t>Can J Econ Can Déconomique. 2022;55:308-57.</w:t>
      </w:r>
    </w:p>
    <w:p w14:paraId="36AF4D83" w14:textId="77777777" w:rsidR="008F1217" w:rsidRDefault="008F1217" w:rsidP="008F1217">
      <w:pPr>
        <w:pStyle w:val="Bibliografa"/>
      </w:pPr>
      <w:r w:rsidRPr="0079649D">
        <w:rPr>
          <w:lang w:val="es-CO"/>
        </w:rPr>
        <w:t>111.</w:t>
      </w:r>
      <w:r w:rsidRPr="0079649D">
        <w:rPr>
          <w:lang w:val="es-CO"/>
        </w:rPr>
        <w:tab/>
        <w:t xml:space="preserve">Moreno-Montoya J, Ballesteros SM, Idrovo AJ. </w:t>
      </w:r>
      <w:r>
        <w:t>COVID-19 distribution in Bogotá, Colombia: effect of poverty during the first 2 months of pandemic. J Epidemiol Community Health. febrero de 2022;76(2):116-20. doi:10.1136/jech-2020-214579</w:t>
      </w:r>
    </w:p>
    <w:p w14:paraId="7E3D7BB2" w14:textId="77777777" w:rsidR="008F1217" w:rsidRPr="0079649D" w:rsidRDefault="008F1217" w:rsidP="008F1217">
      <w:pPr>
        <w:pStyle w:val="Bibliografa"/>
        <w:rPr>
          <w:lang w:val="es-CO"/>
        </w:rPr>
      </w:pPr>
      <w:r>
        <w:t>112.</w:t>
      </w:r>
      <w:r>
        <w:tab/>
        <w:t xml:space="preserve">Cuesta J, Pico J. The Gendered Poverty Effects of the COVID-19 Pandemic in Colombia. </w:t>
      </w:r>
      <w:r w:rsidRPr="0079649D">
        <w:rPr>
          <w:lang w:val="es-CO"/>
        </w:rPr>
        <w:t>Eur J Dev Res. diciembre de 2020;32(5):1558-91. doi:10.1057/s41287-020-00328-2</w:t>
      </w:r>
    </w:p>
    <w:p w14:paraId="17BF4517" w14:textId="77777777" w:rsidR="008F1217" w:rsidRPr="0079649D" w:rsidRDefault="008F1217" w:rsidP="008F1217">
      <w:pPr>
        <w:pStyle w:val="Bibliografa"/>
        <w:rPr>
          <w:lang w:val="es-CO"/>
        </w:rPr>
      </w:pPr>
      <w:r w:rsidRPr="0079649D">
        <w:rPr>
          <w:lang w:val="es-CO"/>
        </w:rPr>
        <w:t>113.</w:t>
      </w:r>
      <w:r w:rsidRPr="0079649D">
        <w:rPr>
          <w:lang w:val="es-CO"/>
        </w:rPr>
        <w:tab/>
        <w:t>Torres Torres MF. Superación de la pobreza extrema en Colombia: una mirada desde el enfoque diferencial para los pueblos indígenas. 2017.</w:t>
      </w:r>
    </w:p>
    <w:p w14:paraId="1FCA4CB6" w14:textId="77777777" w:rsidR="008F1217" w:rsidRPr="0079649D" w:rsidRDefault="008F1217" w:rsidP="008F1217">
      <w:pPr>
        <w:pStyle w:val="Bibliografa"/>
        <w:rPr>
          <w:lang w:val="es-CO"/>
        </w:rPr>
      </w:pPr>
      <w:r w:rsidRPr="0079649D">
        <w:rPr>
          <w:lang w:val="es-CO"/>
        </w:rPr>
        <w:t>114.</w:t>
      </w:r>
      <w:r w:rsidRPr="0079649D">
        <w:rPr>
          <w:lang w:val="es-CO"/>
        </w:rPr>
        <w:tab/>
        <w:t>Decreto Ley 893 de 2017 - Gestor Normativo - Función Pública [Internet]. [citado 22 de octubre de 2023]. Disponible en: https://www.funcionpublica.gov.co/eva/gestornormativo/norma.php?i=81856</w:t>
      </w:r>
    </w:p>
    <w:p w14:paraId="2EEDB54A" w14:textId="77777777" w:rsidR="008F1217" w:rsidRPr="0079649D" w:rsidRDefault="008F1217" w:rsidP="008F1217">
      <w:pPr>
        <w:pStyle w:val="Bibliografa"/>
        <w:rPr>
          <w:lang w:val="es-CO"/>
        </w:rPr>
      </w:pPr>
      <w:r w:rsidRPr="0079649D">
        <w:rPr>
          <w:lang w:val="es-CO"/>
        </w:rPr>
        <w:t>115.</w:t>
      </w:r>
      <w:r w:rsidRPr="0079649D">
        <w:rPr>
          <w:lang w:val="es-CO"/>
        </w:rPr>
        <w:tab/>
        <w:t>Ley 1819 de 2016 - Gestor Normativo - Función Pública [Internet]. [citado 22 de octubre de 2023]. Disponible en: https://www.funcionpublica.gov.co/eva/gestornormativo/norma.php?i=79140</w:t>
      </w:r>
    </w:p>
    <w:p w14:paraId="7050A32F" w14:textId="77777777" w:rsidR="008F1217" w:rsidRPr="0079649D" w:rsidRDefault="008F1217" w:rsidP="008F1217">
      <w:pPr>
        <w:pStyle w:val="Bibliografa"/>
        <w:rPr>
          <w:lang w:val="es-CO"/>
        </w:rPr>
      </w:pPr>
      <w:r w:rsidRPr="0079649D">
        <w:rPr>
          <w:lang w:val="es-CO"/>
        </w:rPr>
        <w:t>116.</w:t>
      </w:r>
      <w:r w:rsidRPr="0079649D">
        <w:rPr>
          <w:lang w:val="es-CO"/>
        </w:rPr>
        <w:tab/>
        <w:t>DANE - Proyecciones de población [Internet]. [citado 22 de febrero de 2025]. Disponible en: https://www.dane.gov.co/index.php/estadisticas-por-tema/demografia-y-poblacion/proyecciones-de-poblacion</w:t>
      </w:r>
    </w:p>
    <w:p w14:paraId="609130F7" w14:textId="77777777" w:rsidR="008F1217" w:rsidRPr="0079649D" w:rsidRDefault="008F1217" w:rsidP="008F1217">
      <w:pPr>
        <w:pStyle w:val="Bibliografa"/>
        <w:rPr>
          <w:lang w:val="es-CO"/>
        </w:rPr>
      </w:pPr>
      <w:r w:rsidRPr="0079649D">
        <w:rPr>
          <w:lang w:val="es-CO"/>
        </w:rPr>
        <w:t>117.</w:t>
      </w:r>
      <w:r w:rsidRPr="0079649D">
        <w:rPr>
          <w:lang w:val="es-CO"/>
        </w:rPr>
        <w:tab/>
        <w:t>Medida de pobreza multidimensional de fuente censal [Internet]. [citado 23 de abril de 2022]. Disponible en: https://www.dane.gov.co/index.php/estadisticas-por-tema/pobreza-y-condiciones-de-vida/pobreza-y-desigualdad/medida-de-pobreza-multidimensional-de-fuente-censal</w:t>
      </w:r>
    </w:p>
    <w:p w14:paraId="3D106D57" w14:textId="77777777" w:rsidR="008F1217" w:rsidRPr="0079649D" w:rsidRDefault="008F1217" w:rsidP="008F1217">
      <w:pPr>
        <w:pStyle w:val="Bibliografa"/>
        <w:rPr>
          <w:lang w:val="es-CO"/>
        </w:rPr>
      </w:pPr>
      <w:r>
        <w:t>118.</w:t>
      </w:r>
      <w:r>
        <w:tab/>
        <w:t xml:space="preserve">Angulo R, Díaz Y, Pardo R. The Colombian multidimensional poverty index: Measuring poverty in a public policy context. </w:t>
      </w:r>
      <w:r w:rsidRPr="0079649D">
        <w:rPr>
          <w:lang w:val="es-CO"/>
        </w:rPr>
        <w:t>Soc Indic Res. 2016;127:1-38.</w:t>
      </w:r>
    </w:p>
    <w:p w14:paraId="3A3F74E1" w14:textId="77777777" w:rsidR="008F1217" w:rsidRPr="0079649D" w:rsidRDefault="008F1217" w:rsidP="008F1217">
      <w:pPr>
        <w:pStyle w:val="Bibliografa"/>
        <w:rPr>
          <w:lang w:val="es-CO"/>
        </w:rPr>
      </w:pPr>
      <w:r w:rsidRPr="0079649D">
        <w:rPr>
          <w:lang w:val="es-CO"/>
        </w:rPr>
        <w:lastRenderedPageBreak/>
        <w:t>119.</w:t>
      </w:r>
      <w:r w:rsidRPr="0079649D">
        <w:rPr>
          <w:lang w:val="es-CO"/>
        </w:rPr>
        <w:tab/>
        <w:t>Grupos étnicos [Internet]. [citado 2 de marzo de 2025]. Disponible en: https://www.minsalud.gov.co/proteccionsocial/promocion-social/paginas/grupos-etnicos.aspx</w:t>
      </w:r>
    </w:p>
    <w:p w14:paraId="2F73A026" w14:textId="77777777" w:rsidR="008F1217" w:rsidRPr="0079649D" w:rsidRDefault="008F1217" w:rsidP="008F1217">
      <w:pPr>
        <w:pStyle w:val="Bibliografa"/>
        <w:rPr>
          <w:lang w:val="es-CO"/>
        </w:rPr>
      </w:pPr>
      <w:r w:rsidRPr="0079649D">
        <w:rPr>
          <w:lang w:val="es-CO"/>
        </w:rPr>
        <w:t>120.</w:t>
      </w:r>
      <w:r w:rsidRPr="0079649D">
        <w:rPr>
          <w:lang w:val="es-CO"/>
        </w:rPr>
        <w:tab/>
        <w:t>Beneficios tributarios para empresas que inviertan en 344 municipios afectados por el conflicto [Internet]. [citado 28 de julio de 2024]. Disponible en: https://2022.dnp.gov.co:443/Paginas/Beneficios-tributarios-para-empresas-que-inviertan-en-344-municipios-afectados-por-el-conflicto.aspx</w:t>
      </w:r>
    </w:p>
    <w:p w14:paraId="01D3A56E" w14:textId="77777777" w:rsidR="008F1217" w:rsidRDefault="008F1217" w:rsidP="008F1217">
      <w:pPr>
        <w:pStyle w:val="Bibliografa"/>
      </w:pPr>
      <w:r>
        <w:t>121.</w:t>
      </w:r>
      <w:r>
        <w:tab/>
        <w:t>Thompson N, Kyaw K, Singh L, Cikomola J, Singh N, Roberts B. The effect of COVID-19 on the non-COVID health outcomes of crisis-affected peoples: a systematic review. Confl Health. 2024;18(1):37.</w:t>
      </w:r>
    </w:p>
    <w:p w14:paraId="2F7E1559" w14:textId="77777777" w:rsidR="008F1217" w:rsidRDefault="008F1217" w:rsidP="008F1217">
      <w:pPr>
        <w:pStyle w:val="Bibliografa"/>
      </w:pPr>
      <w:r>
        <w:t>122.</w:t>
      </w:r>
      <w:r>
        <w:tab/>
        <w:t>Palaiodimos L, Kokkinidis DG, Li W, Karamanis D, Ognibene J, Arora S, et al. Severe obesity, increasing age and male sex are independently associated with worse in-hospital outcomes, and higher in-hospital mortality, in a cohort of patients with COVID-19 in the Bronx, New York. Metabolism. julio de 2020;108:154262. doi:10.1016/j.metabol.2020.154262</w:t>
      </w:r>
    </w:p>
    <w:p w14:paraId="1305CD81" w14:textId="77777777" w:rsidR="008F1217" w:rsidRDefault="008F1217" w:rsidP="008F1217">
      <w:pPr>
        <w:pStyle w:val="Bibliografa"/>
      </w:pPr>
      <w:r>
        <w:t>123.</w:t>
      </w:r>
      <w:r>
        <w:tab/>
        <w:t>Nimgaonkar I, Valeri L, Susser E, Hussain S, Sunderram J, Aviv A. The age pattern of the male-to-female ratio in mortality from COVID-19 mirrors that of cardiovascular disease in the general population. Aging. 15 de febrero de 2021;13(3):3190-201. doi:10.18632/aging.202639</w:t>
      </w:r>
    </w:p>
    <w:p w14:paraId="60A993FF" w14:textId="77777777" w:rsidR="008F1217" w:rsidRDefault="008F1217" w:rsidP="008F1217">
      <w:pPr>
        <w:pStyle w:val="Bibliografa"/>
      </w:pPr>
      <w:r>
        <w:t>124.</w:t>
      </w:r>
      <w:r>
        <w:tab/>
        <w:t>Blake MJ, Marka NA, Steer CJ, Ravdin JI. Cause of Death by Race and Ethnicity in Minnesota Before and During the COVID-19 Pandemic, 2019–2020. J Racial Ethn Health Disparities. 2023;1-9.</w:t>
      </w:r>
    </w:p>
    <w:p w14:paraId="649F7813" w14:textId="77777777" w:rsidR="008F1217" w:rsidRDefault="008F1217" w:rsidP="008F1217">
      <w:pPr>
        <w:pStyle w:val="Bibliografa"/>
      </w:pPr>
      <w:r>
        <w:t>125.</w:t>
      </w:r>
      <w:r>
        <w:tab/>
        <w:t>de Souza CDF, Machado MF, do Carmo RF. Human development, social vulnerability and COVID-19 in Brazil: a study of the social determinants of health. Infect Dis Poverty. 2020;9(04):50-9.</w:t>
      </w:r>
    </w:p>
    <w:p w14:paraId="54CE53F5" w14:textId="77777777" w:rsidR="008F1217" w:rsidRPr="0079649D" w:rsidRDefault="008F1217" w:rsidP="008F1217">
      <w:pPr>
        <w:pStyle w:val="Bibliografa"/>
        <w:rPr>
          <w:lang w:val="es-CO"/>
        </w:rPr>
      </w:pPr>
      <w:r>
        <w:t>126.</w:t>
      </w:r>
      <w:r>
        <w:tab/>
        <w:t xml:space="preserve">Navarro-Román L, Román GC. The devastating effects of the COVID-19 pandemic among ethnic minorities, migrants, and refugees. </w:t>
      </w:r>
      <w:r w:rsidRPr="0079649D">
        <w:rPr>
          <w:lang w:val="es-CO"/>
        </w:rPr>
        <w:t>Neurol Migr Refug. 2022;153-63.</w:t>
      </w:r>
    </w:p>
    <w:p w14:paraId="0A77BCCB" w14:textId="77777777" w:rsidR="008F1217" w:rsidRPr="0079649D" w:rsidRDefault="008F1217" w:rsidP="008F1217">
      <w:pPr>
        <w:pStyle w:val="Bibliografa"/>
        <w:rPr>
          <w:lang w:val="es-CO"/>
        </w:rPr>
      </w:pPr>
      <w:r w:rsidRPr="0079649D">
        <w:rPr>
          <w:lang w:val="es-CO"/>
        </w:rPr>
        <w:t>127.</w:t>
      </w:r>
      <w:r w:rsidRPr="0079649D">
        <w:rPr>
          <w:lang w:val="es-CO"/>
        </w:rPr>
        <w:tab/>
        <w:t>DANE - Serie - Notas Estadísticas CASEN [Internet]. [citado 23 de abril de 2024]. Disponible en: https://www.dane.gov.co/index.php/servicios-al-ciudadano/servicios-informacion/serie-notas-estadisticas-casen?highlight=WyJjb3ZpZCIsImNvdmVyIiwiYWZyb2NvbG9tYmlhbmEiLCJhZnJvY29sb21iaWFub3MiLCJhZnJvY29sb21iaWFuYXMiLCJhZnJvY29sb21iaWFubyJd</w:t>
      </w:r>
    </w:p>
    <w:p w14:paraId="2E92629B" w14:textId="77777777" w:rsidR="008F1217" w:rsidRDefault="008F1217" w:rsidP="008F1217">
      <w:pPr>
        <w:pStyle w:val="Bibliografa"/>
      </w:pPr>
      <w:r>
        <w:t>128.</w:t>
      </w:r>
      <w:r>
        <w:tab/>
        <w:t>Pickering K, Galappaththi EK, Ford JD, Singh C, Zavaleta-Cortijo C, Hyams K, et al. Indigenous peoples and the COVID-19 pandemic: a systematic scoping review. Environ Res Lett. 2023;18(3):033001.</w:t>
      </w:r>
    </w:p>
    <w:p w14:paraId="40DDAA40" w14:textId="77777777" w:rsidR="008F1217" w:rsidRDefault="008F1217" w:rsidP="008F1217">
      <w:pPr>
        <w:pStyle w:val="Bibliografa"/>
      </w:pPr>
      <w:r>
        <w:t>129.</w:t>
      </w:r>
      <w:r>
        <w:tab/>
        <w:t>Millalen P, Nahuelpan H, Hofflinger A, Martinez E. COVID-19 and Indigenous peoples in Chile: vulnerability to contagion and mortality. Altern Int J Indig Peoples. 2020;16(4):399-402.</w:t>
      </w:r>
    </w:p>
    <w:p w14:paraId="12D94034" w14:textId="77777777" w:rsidR="008F1217" w:rsidRDefault="008F1217" w:rsidP="008F1217">
      <w:pPr>
        <w:pStyle w:val="Bibliografa"/>
      </w:pPr>
      <w:r>
        <w:t>130.</w:t>
      </w:r>
      <w:r>
        <w:tab/>
        <w:t>Fellows M, Paye V, Alencar A, Nicácio M, Castro I, Coelho ME, et al. Under-reporting of COVID-19 cases among indigenous peoples in Brazil: a new expression of old inequalities. Front Psychiatry. 2021;12:638359.</w:t>
      </w:r>
    </w:p>
    <w:p w14:paraId="3380D465" w14:textId="77777777" w:rsidR="008F1217" w:rsidRDefault="008F1217" w:rsidP="008F1217">
      <w:pPr>
        <w:pStyle w:val="Bibliografa"/>
      </w:pPr>
      <w:r>
        <w:lastRenderedPageBreak/>
        <w:t>131.</w:t>
      </w:r>
      <w:r>
        <w:tab/>
        <w:t>Rolston B, Ní Aoláin F, Wright C. Colombia, COVID-19, and the Colonial Trap: Reflections on the Politics of Knowledge Production. Lat Am Perspect. enero de 2025;52(1):106-25. doi:10.1177/0094582X241311803</w:t>
      </w:r>
    </w:p>
    <w:p w14:paraId="706107CC" w14:textId="77777777" w:rsidR="008F1217" w:rsidRDefault="008F1217" w:rsidP="008F1217">
      <w:pPr>
        <w:pStyle w:val="Bibliografa"/>
      </w:pPr>
      <w:r>
        <w:t>132.</w:t>
      </w:r>
      <w:r>
        <w:tab/>
        <w:t>Idler A, Hochmüller M. Covid-19 in Colombia’s Borderlands and the Western Hemisphere: Adding Instability to a Double Crisis. J Lat Am Geogr. 2020;19(3):280-8.</w:t>
      </w:r>
    </w:p>
    <w:p w14:paraId="55750688" w14:textId="77777777" w:rsidR="008F1217" w:rsidRPr="0079649D" w:rsidRDefault="008F1217" w:rsidP="008F1217">
      <w:pPr>
        <w:pStyle w:val="Bibliografa"/>
        <w:rPr>
          <w:lang w:val="es-CO"/>
        </w:rPr>
      </w:pPr>
      <w:r>
        <w:t>133.</w:t>
      </w:r>
      <w:r>
        <w:tab/>
        <w:t xml:space="preserve">Bernal O, Garcia-Betancourt T, León-Giraldo S, Rodríguez LM, González-Uribe C. Impact of the armed conflict in Colombia: consequences in the health system, response and challenges. </w:t>
      </w:r>
      <w:r w:rsidRPr="0079649D">
        <w:rPr>
          <w:lang w:val="es-CO"/>
        </w:rPr>
        <w:t>Confl Health. 2024;18(1):4.</w:t>
      </w:r>
    </w:p>
    <w:p w14:paraId="05887F21" w14:textId="77777777" w:rsidR="008F1217" w:rsidRDefault="008F1217" w:rsidP="008F1217">
      <w:pPr>
        <w:pStyle w:val="Bibliografa"/>
      </w:pPr>
      <w:r w:rsidRPr="0079649D">
        <w:rPr>
          <w:lang w:val="es-CO"/>
        </w:rPr>
        <w:t>134.</w:t>
      </w:r>
      <w:r w:rsidRPr="0079649D">
        <w:rPr>
          <w:lang w:val="es-CO"/>
        </w:rPr>
        <w:tab/>
        <w:t xml:space="preserve">Lasso Silva ER, Rojas Álvarez SP, Pinzón Sierra DF. Aproximación al estado del arte de las ZOMAC en Colombia. </w:t>
      </w:r>
      <w:r>
        <w:t>Punto Vista. 13 de noviembre de 2020;11(17):49-62. doi:10.15765/pdv.v12i17.1669</w:t>
      </w:r>
    </w:p>
    <w:p w14:paraId="6081C1CB" w14:textId="77777777" w:rsidR="008F1217" w:rsidRDefault="008F1217" w:rsidP="008F1217">
      <w:pPr>
        <w:pStyle w:val="Bibliografa"/>
      </w:pPr>
      <w:r>
        <w:t>135.</w:t>
      </w:r>
      <w:r>
        <w:tab/>
        <w:t>Sameri MJ, Alizadeh M, Baghlani F, Mahdavi S. Adaptive Health Systems: Innovations in Crisis Management During Armed Conflicts. Disaster Med Public Health Prep. 2025;19:e100. doi:10.1017/dmp.2025.100</w:t>
      </w:r>
    </w:p>
    <w:p w14:paraId="6CF47A69" w14:textId="77777777" w:rsidR="008F1217" w:rsidRPr="0079649D" w:rsidRDefault="008F1217" w:rsidP="008F1217">
      <w:pPr>
        <w:pStyle w:val="Bibliografa"/>
        <w:rPr>
          <w:lang w:val="es-CO"/>
        </w:rPr>
      </w:pPr>
      <w:r>
        <w:t>136.</w:t>
      </w:r>
      <w:r>
        <w:tab/>
        <w:t xml:space="preserve">Moreno-Serra R, Anaya-Montes M, León-Giraldo S, Bernal O. Addressing recall bias in (post-) conflict data collection and analysis: lessons from a large-scale health survey in Colombia. </w:t>
      </w:r>
      <w:r w:rsidRPr="0079649D">
        <w:rPr>
          <w:lang w:val="es-CO"/>
        </w:rPr>
        <w:t>Confl Health. 2022;16(1):14.</w:t>
      </w:r>
    </w:p>
    <w:p w14:paraId="7A08FD09" w14:textId="77777777" w:rsidR="008F1217" w:rsidRPr="0079649D" w:rsidRDefault="008F1217" w:rsidP="008F1217">
      <w:pPr>
        <w:pStyle w:val="Bibliografa"/>
        <w:rPr>
          <w:lang w:val="es-CO"/>
        </w:rPr>
      </w:pPr>
      <w:r w:rsidRPr="0079649D">
        <w:rPr>
          <w:lang w:val="es-CO"/>
        </w:rPr>
        <w:t>137.</w:t>
      </w:r>
      <w:r w:rsidRPr="0079649D">
        <w:rPr>
          <w:lang w:val="es-CO"/>
        </w:rPr>
        <w:tab/>
        <w:t>Gutiérrez WA, Samudio ML, Cano CA. Caracterización de las personas centenarias atendidas en el Hospital Universitario San Ignacio de enero del 2005 a diciembre del 2012. Univ Médica. 2015;56(3):268-74.</w:t>
      </w:r>
    </w:p>
    <w:p w14:paraId="45E03BE1" w14:textId="77777777" w:rsidR="008F1217" w:rsidRPr="0079649D" w:rsidRDefault="008F1217" w:rsidP="008F1217">
      <w:pPr>
        <w:pStyle w:val="Bibliografa"/>
        <w:rPr>
          <w:lang w:val="es-CO"/>
        </w:rPr>
      </w:pPr>
      <w:r w:rsidRPr="0079649D">
        <w:rPr>
          <w:lang w:val="es-CO"/>
        </w:rPr>
        <w:t>138.</w:t>
      </w:r>
      <w:r w:rsidRPr="0079649D">
        <w:rPr>
          <w:lang w:val="es-CO"/>
        </w:rPr>
        <w:tab/>
        <w:t>Personas mayores de 100 años en Colombia - 70 Años del DANE: Un Legado Estadístico [Internet]. [citado 20 de enero de 2024]. Disponible en: https://dane70.dane.gov.co/index.php/los-hitos/censos/personas-mayores-de-100-anos-en-colombia</w:t>
      </w:r>
    </w:p>
    <w:p w14:paraId="4665F916" w14:textId="77777777" w:rsidR="008F1217" w:rsidRPr="0079649D" w:rsidRDefault="008F1217" w:rsidP="008F1217">
      <w:pPr>
        <w:pStyle w:val="Bibliografa"/>
        <w:rPr>
          <w:lang w:val="es-CO"/>
        </w:rPr>
      </w:pPr>
      <w:r w:rsidRPr="0079649D">
        <w:rPr>
          <w:lang w:val="es-CO"/>
        </w:rPr>
        <w:t>139.</w:t>
      </w:r>
      <w:r w:rsidRPr="0079649D">
        <w:rPr>
          <w:lang w:val="es-CO"/>
        </w:rPr>
        <w:tab/>
        <w:t>Rosselli D, Yucumá D, Polanía MJ, Machado JC. Distribución geográfica de los centenarios en Colombia: un análisis de tres bases de datos. Meta. 2017;23(10):13.</w:t>
      </w:r>
    </w:p>
    <w:p w14:paraId="51118C5F" w14:textId="77777777" w:rsidR="008F1217" w:rsidRDefault="008F1217" w:rsidP="008F1217">
      <w:pPr>
        <w:pStyle w:val="Bibliografa"/>
      </w:pPr>
      <w:r w:rsidRPr="0079649D">
        <w:rPr>
          <w:lang w:val="es-CO"/>
        </w:rPr>
        <w:t>140.</w:t>
      </w:r>
      <w:r w:rsidRPr="0079649D">
        <w:rPr>
          <w:lang w:val="es-CO"/>
        </w:rPr>
        <w:tab/>
        <w:t xml:space="preserve">Rosselli M. Covid-19 en Colombia: los primeros 90 días. Acta Neurológica Colomb. </w:t>
      </w:r>
      <w:r>
        <w:t>2020;36(2):1-6.</w:t>
      </w:r>
    </w:p>
    <w:p w14:paraId="2942E803" w14:textId="77777777" w:rsidR="008F1217" w:rsidRPr="0079649D" w:rsidRDefault="008F1217" w:rsidP="008F1217">
      <w:pPr>
        <w:pStyle w:val="Bibliografa"/>
        <w:rPr>
          <w:lang w:val="es-CO"/>
        </w:rPr>
      </w:pPr>
      <w:r>
        <w:t>141.</w:t>
      </w:r>
      <w:r>
        <w:tab/>
        <w:t xml:space="preserve">Noor FM, Islam MM. Prevalence and associated risk factors of mortality among COVID-19 patients: a meta-analysis. </w:t>
      </w:r>
      <w:r w:rsidRPr="0079649D">
        <w:rPr>
          <w:lang w:val="es-CO"/>
        </w:rPr>
        <w:t>J Community Health. 2020;45(6):1270-82.</w:t>
      </w:r>
    </w:p>
    <w:p w14:paraId="06CB8A38" w14:textId="77777777" w:rsidR="008F1217" w:rsidRPr="0079649D" w:rsidRDefault="008F1217" w:rsidP="008F1217">
      <w:pPr>
        <w:pStyle w:val="Bibliografa"/>
        <w:rPr>
          <w:lang w:val="es-CO"/>
        </w:rPr>
      </w:pPr>
      <w:r w:rsidRPr="0079649D">
        <w:rPr>
          <w:lang w:val="es-CO"/>
        </w:rPr>
        <w:t>142.</w:t>
      </w:r>
      <w:r w:rsidRPr="0079649D">
        <w:rPr>
          <w:lang w:val="es-CO"/>
        </w:rPr>
        <w:tab/>
        <w:t>Coronavirus Colombia [Internet]. [citado 20 de enero de 2024]. Disponible en: https://www.ins.gov.co/Noticias/Paginas/Coronavirus.aspx</w:t>
      </w:r>
    </w:p>
    <w:p w14:paraId="498232A0" w14:textId="77777777" w:rsidR="008F1217" w:rsidRPr="0079649D" w:rsidRDefault="008F1217" w:rsidP="008F1217">
      <w:pPr>
        <w:pStyle w:val="Bibliografa"/>
        <w:rPr>
          <w:lang w:val="es-CO"/>
        </w:rPr>
      </w:pPr>
      <w:r w:rsidRPr="0079649D">
        <w:rPr>
          <w:lang w:val="es-CO"/>
        </w:rPr>
        <w:t>143.</w:t>
      </w:r>
      <w:r w:rsidRPr="0079649D">
        <w:rPr>
          <w:lang w:val="es-CO"/>
        </w:rPr>
        <w:tab/>
        <w:t>•Regiones geográficas. [Internet]. [citado 7 de febrero de 2024]. Disponible en: https://geoportal.dane.gov.co/servicios/atlas-estadistico/src/Tomo_I_Demografico/%E2%80%A2regiones-geogr%C3%A1ficas.html</w:t>
      </w:r>
    </w:p>
    <w:p w14:paraId="22DD0B61" w14:textId="77777777" w:rsidR="008F1217" w:rsidRPr="0079649D" w:rsidRDefault="008F1217" w:rsidP="008F1217">
      <w:pPr>
        <w:pStyle w:val="Bibliografa"/>
        <w:rPr>
          <w:lang w:val="es-CO"/>
        </w:rPr>
      </w:pPr>
      <w:r w:rsidRPr="0079649D">
        <w:rPr>
          <w:lang w:val="es-CO"/>
        </w:rPr>
        <w:lastRenderedPageBreak/>
        <w:t>144.</w:t>
      </w:r>
      <w:r w:rsidRPr="0079649D">
        <w:rPr>
          <w:lang w:val="es-CO"/>
        </w:rPr>
        <w:tab/>
        <w:t>¿Con base a qué criterios se establece la categoría de un municipio en Colombia? [Internet]. [citado 20 de enero de 2024]. Disponible en: https://www.construyendomeritos.com/blog/con-base-a-que-criterios-se-establece-la-categoria-de-un-municipio-en-colombia</w:t>
      </w:r>
    </w:p>
    <w:p w14:paraId="150A4742" w14:textId="77777777" w:rsidR="008F1217" w:rsidRDefault="008F1217" w:rsidP="008F1217">
      <w:pPr>
        <w:pStyle w:val="Bibliografa"/>
      </w:pPr>
      <w:r>
        <w:t>145.</w:t>
      </w:r>
      <w:r>
        <w:tab/>
        <w:t>Bonafè M, Olivieri F, Cavallone L, Giovagnetti S, Marchegiani F, Cardelli M, et al. A gender–dependent genetic predisposition to produce high levels of IL‐6 is detrimental for longevity. Eur J Immunol. 2001;31(8):2357-61.</w:t>
      </w:r>
    </w:p>
    <w:p w14:paraId="465C593C" w14:textId="77777777" w:rsidR="008F1217" w:rsidRDefault="008F1217" w:rsidP="008F1217">
      <w:pPr>
        <w:pStyle w:val="Bibliografa"/>
      </w:pPr>
      <w:r>
        <w:t>146.</w:t>
      </w:r>
      <w:r>
        <w:tab/>
        <w:t>Poulain M, Chambre D, Pes GM. Centenarians exposed to the Spanish flu in their early life better survived to COVID-19. Aging. 2021;13(18):21855.</w:t>
      </w:r>
    </w:p>
    <w:p w14:paraId="5FD83DB8" w14:textId="77777777" w:rsidR="008F1217" w:rsidRDefault="008F1217" w:rsidP="008F1217">
      <w:pPr>
        <w:pStyle w:val="Bibliografa"/>
      </w:pPr>
      <w:r w:rsidRPr="008F1217">
        <w:rPr>
          <w:lang w:val="it-IT"/>
        </w:rPr>
        <w:t>147.</w:t>
      </w:r>
      <w:r w:rsidRPr="008F1217">
        <w:rPr>
          <w:lang w:val="it-IT"/>
        </w:rPr>
        <w:tab/>
        <w:t xml:space="preserve">Caruso C, Marcon G, Accardi G, Aiello A, Calabrò A, Ligotti ME, et al. </w:t>
      </w:r>
      <w:r>
        <w:t>Role of Sex and Age in Fatal Outcomes of COVID-19: Women and Older Centenarians Are More Resilient. Int J Mol Sci. 2023;24(3):2638.</w:t>
      </w:r>
    </w:p>
    <w:p w14:paraId="05C49D67" w14:textId="77777777" w:rsidR="008F1217" w:rsidRPr="008F1217" w:rsidRDefault="008F1217" w:rsidP="008F1217">
      <w:pPr>
        <w:pStyle w:val="Bibliografa"/>
        <w:rPr>
          <w:lang w:val="es-CO"/>
        </w:rPr>
      </w:pPr>
      <w:r>
        <w:t>148.</w:t>
      </w:r>
      <w:r>
        <w:tab/>
        <w:t xml:space="preserve">Kashtanova DA, Erema VV, Gusakova MS, Sutulova ER, Yakovchik AY, Ivanov MV, et al. Mortality and survival in nonagenarians during the COVID-19 pandemic: Unstable equilibrium of aging. </w:t>
      </w:r>
      <w:r w:rsidRPr="008F1217">
        <w:rPr>
          <w:lang w:val="es-CO"/>
        </w:rPr>
        <w:t>Front Med. 2023;10:1132476.</w:t>
      </w:r>
    </w:p>
    <w:p w14:paraId="62D73EEC" w14:textId="77777777" w:rsidR="008F1217" w:rsidRPr="008F1217" w:rsidRDefault="008F1217" w:rsidP="008F1217">
      <w:pPr>
        <w:pStyle w:val="Bibliografa"/>
        <w:rPr>
          <w:lang w:val="es-CO"/>
        </w:rPr>
      </w:pPr>
      <w:r w:rsidRPr="008F1217">
        <w:rPr>
          <w:lang w:val="es-CO"/>
        </w:rPr>
        <w:t>149.</w:t>
      </w:r>
      <w:r w:rsidRPr="008F1217">
        <w:rPr>
          <w:lang w:val="es-CO"/>
        </w:rPr>
        <w:tab/>
        <w:t>Vacunación contra COVID-19 [Internet]. [citado 7 de febrero de 2024]. Disponible en: https://www.minsalud.gov.co/salud/publica/Vacunacion/Paginas/Vacunacion-covid-19.aspx</w:t>
      </w:r>
    </w:p>
    <w:p w14:paraId="7695E103" w14:textId="77777777" w:rsidR="008F1217" w:rsidRDefault="008F1217" w:rsidP="008F1217">
      <w:pPr>
        <w:pStyle w:val="Bibliografa"/>
      </w:pPr>
      <w:r>
        <w:t>150.</w:t>
      </w:r>
      <w:r>
        <w:tab/>
        <w:t>Mizrahi B, Shilo S, Rossman H, Kalkstein N, Marcus K, Barer Y, et al. Longitudinal symptom dynamics of COVID-19 infection. Nat Commun. 2020;11(1):6208.</w:t>
      </w:r>
    </w:p>
    <w:p w14:paraId="6EE624E7" w14:textId="77777777" w:rsidR="008F1217" w:rsidRPr="008F1217" w:rsidRDefault="008F1217" w:rsidP="008F1217">
      <w:pPr>
        <w:pStyle w:val="Bibliografa"/>
        <w:rPr>
          <w:lang w:val="es-CO"/>
        </w:rPr>
      </w:pPr>
      <w:r>
        <w:t>151.</w:t>
      </w:r>
      <w:r>
        <w:tab/>
        <w:t xml:space="preserve">Sousa G, Garces T, Cestari V, Florêncio R, Moreira T, Pereira M. Mortality and survival of COVID-19. </w:t>
      </w:r>
      <w:r w:rsidRPr="008F1217">
        <w:rPr>
          <w:lang w:val="es-CO"/>
        </w:rPr>
        <w:t>Epidemiol Infect. 2020;148.</w:t>
      </w:r>
    </w:p>
    <w:p w14:paraId="0E2292A7" w14:textId="77777777" w:rsidR="008F1217" w:rsidRPr="008F1217" w:rsidRDefault="008F1217" w:rsidP="008F1217">
      <w:pPr>
        <w:pStyle w:val="Bibliografa"/>
        <w:rPr>
          <w:lang w:val="es-CO"/>
        </w:rPr>
      </w:pPr>
      <w:r w:rsidRPr="008F1217">
        <w:rPr>
          <w:lang w:val="es-CO"/>
        </w:rPr>
        <w:t>152.</w:t>
      </w:r>
      <w:r w:rsidRPr="008F1217">
        <w:rPr>
          <w:lang w:val="es-CO"/>
        </w:rPr>
        <w:tab/>
        <w:t>Grupos étnicos información técnica [Internet]. [citado 10 de febrero de 2024]. Disponible en: https://web.archive.org/web/20200408132304/https://www.dane.gov.co/index.php/estadisticas-por-tema/demografia-y-poblacion/grupos-etnicos/informacion-tecnica</w:t>
      </w:r>
    </w:p>
    <w:p w14:paraId="5F60D753" w14:textId="77777777" w:rsidR="008F1217" w:rsidRPr="008F1217" w:rsidRDefault="008F1217" w:rsidP="008F1217">
      <w:pPr>
        <w:pStyle w:val="Bibliografa"/>
        <w:rPr>
          <w:lang w:val="es-CO"/>
        </w:rPr>
      </w:pPr>
      <w:r w:rsidRPr="008F1217">
        <w:rPr>
          <w:lang w:val="es-CO"/>
        </w:rPr>
        <w:t>153.</w:t>
      </w:r>
      <w:r w:rsidRPr="008F1217">
        <w:rPr>
          <w:lang w:val="es-CO"/>
        </w:rPr>
        <w:tab/>
        <w:t>Duque Cante N. Importancia de la categorización territorial para la descentralización y las relaciones intergubernamentales en Colombia. Rev Derecho Estado. 2017;(38):67-95.</w:t>
      </w:r>
    </w:p>
    <w:p w14:paraId="21317002" w14:textId="77777777" w:rsidR="008F1217" w:rsidRDefault="008F1217" w:rsidP="008F1217">
      <w:pPr>
        <w:pStyle w:val="Bibliografa"/>
      </w:pPr>
      <w:r w:rsidRPr="008F1217">
        <w:rPr>
          <w:lang w:val="es-CO"/>
        </w:rPr>
        <w:t>154.</w:t>
      </w:r>
      <w:r w:rsidRPr="008F1217">
        <w:rPr>
          <w:lang w:val="es-CO"/>
        </w:rPr>
        <w:tab/>
        <w:t xml:space="preserve">Delgado Ruiz ST, Cárdenas Pinzón JI, Fuentes López HJ. Los municipios de sexta categoría de Colombia (2000-2016): entre la autonomía y la dependencia. </w:t>
      </w:r>
      <w:r>
        <w:t>Apunt CENES. 2020;39(69):137-67.</w:t>
      </w:r>
    </w:p>
    <w:p w14:paraId="3BA2CCFD" w14:textId="7F1D2C3A" w:rsidR="00435BC3" w:rsidRPr="00B025A8" w:rsidRDefault="00435BC3" w:rsidP="003B711F">
      <w:pPr>
        <w:jc w:val="both"/>
        <w:rPr>
          <w:rFonts w:cstheme="minorHAnsi"/>
          <w:sz w:val="24"/>
          <w:szCs w:val="24"/>
          <w:lang w:val="es-CO"/>
        </w:rPr>
      </w:pPr>
      <w:r w:rsidRPr="00C316F8">
        <w:rPr>
          <w:rFonts w:cstheme="minorHAnsi"/>
          <w:sz w:val="24"/>
          <w:szCs w:val="24"/>
          <w:lang w:val="es-CO"/>
        </w:rPr>
        <w:fldChar w:fldCharType="end"/>
      </w:r>
    </w:p>
    <w:sectPr w:rsidR="00435BC3" w:rsidRPr="00B025A8" w:rsidSect="005A2FF0">
      <w:footerReference w:type="default" r:id="rId2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C29A0C" w14:textId="77777777" w:rsidR="005E39B6" w:rsidRDefault="005E39B6" w:rsidP="0081375F">
      <w:pPr>
        <w:spacing w:after="0" w:line="240" w:lineRule="auto"/>
      </w:pPr>
      <w:r>
        <w:separator/>
      </w:r>
    </w:p>
  </w:endnote>
  <w:endnote w:type="continuationSeparator" w:id="0">
    <w:p w14:paraId="538DF078" w14:textId="77777777" w:rsidR="005E39B6" w:rsidRDefault="005E39B6" w:rsidP="008137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0456771"/>
      <w:docPartObj>
        <w:docPartGallery w:val="Page Numbers (Bottom of Page)"/>
        <w:docPartUnique/>
      </w:docPartObj>
    </w:sdtPr>
    <w:sdtEndPr/>
    <w:sdtContent>
      <w:p w14:paraId="74933D87" w14:textId="0D43E892" w:rsidR="003F324E" w:rsidRDefault="003F324E">
        <w:pPr>
          <w:pStyle w:val="Piedepgina"/>
          <w:jc w:val="right"/>
        </w:pPr>
        <w:r>
          <w:fldChar w:fldCharType="begin"/>
        </w:r>
        <w:r>
          <w:instrText>PAGE   \* MERGEFORMAT</w:instrText>
        </w:r>
        <w:r>
          <w:fldChar w:fldCharType="separate"/>
        </w:r>
        <w:r w:rsidR="0079649D" w:rsidRPr="0079649D">
          <w:rPr>
            <w:noProof/>
            <w:lang w:val="es-ES"/>
          </w:rPr>
          <w:t>106</w:t>
        </w:r>
        <w:r>
          <w:fldChar w:fldCharType="end"/>
        </w:r>
      </w:p>
    </w:sdtContent>
  </w:sdt>
  <w:p w14:paraId="5D60D13C" w14:textId="77777777" w:rsidR="003F324E" w:rsidRDefault="003F324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D61059" w14:textId="77777777" w:rsidR="005E39B6" w:rsidRDefault="005E39B6" w:rsidP="0081375F">
      <w:pPr>
        <w:spacing w:after="0" w:line="240" w:lineRule="auto"/>
      </w:pPr>
      <w:r>
        <w:separator/>
      </w:r>
    </w:p>
  </w:footnote>
  <w:footnote w:type="continuationSeparator" w:id="0">
    <w:p w14:paraId="5E5A00FD" w14:textId="77777777" w:rsidR="005E39B6" w:rsidRDefault="005E39B6" w:rsidP="008137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42254"/>
    <w:multiLevelType w:val="hybridMultilevel"/>
    <w:tmpl w:val="6A8E41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2FE0047"/>
    <w:multiLevelType w:val="hybridMultilevel"/>
    <w:tmpl w:val="C888AD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63435FF"/>
    <w:multiLevelType w:val="hybridMultilevel"/>
    <w:tmpl w:val="DE505E96"/>
    <w:lvl w:ilvl="0" w:tplc="240A0017">
      <w:start w:val="1"/>
      <w:numFmt w:val="lowerLetter"/>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15:restartNumberingAfterBreak="0">
    <w:nsid w:val="07056818"/>
    <w:multiLevelType w:val="hybridMultilevel"/>
    <w:tmpl w:val="7F54337C"/>
    <w:lvl w:ilvl="0" w:tplc="BE1A95A8">
      <w:start w:val="9"/>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0CCC1BB3"/>
    <w:multiLevelType w:val="multilevel"/>
    <w:tmpl w:val="ACC6BFDE"/>
    <w:lvl w:ilvl="0">
      <w:start w:val="1"/>
      <w:numFmt w:val="decimal"/>
      <w:lvlText w:val="%1."/>
      <w:lvlJc w:val="left"/>
      <w:pPr>
        <w:tabs>
          <w:tab w:val="num" w:pos="1512"/>
        </w:tabs>
        <w:ind w:left="1512" w:hanging="720"/>
      </w:pPr>
    </w:lvl>
    <w:lvl w:ilvl="1">
      <w:start w:val="1"/>
      <w:numFmt w:val="decimal"/>
      <w:lvlText w:val="%2."/>
      <w:lvlJc w:val="left"/>
      <w:pPr>
        <w:tabs>
          <w:tab w:val="num" w:pos="2232"/>
        </w:tabs>
        <w:ind w:left="2232" w:hanging="720"/>
      </w:pPr>
    </w:lvl>
    <w:lvl w:ilvl="2">
      <w:start w:val="1"/>
      <w:numFmt w:val="decimal"/>
      <w:lvlText w:val="%3."/>
      <w:lvlJc w:val="left"/>
      <w:pPr>
        <w:tabs>
          <w:tab w:val="num" w:pos="2952"/>
        </w:tabs>
        <w:ind w:left="2952" w:hanging="720"/>
      </w:pPr>
    </w:lvl>
    <w:lvl w:ilvl="3">
      <w:start w:val="1"/>
      <w:numFmt w:val="decimal"/>
      <w:lvlText w:val="%4."/>
      <w:lvlJc w:val="left"/>
      <w:pPr>
        <w:tabs>
          <w:tab w:val="num" w:pos="3672"/>
        </w:tabs>
        <w:ind w:left="3672" w:hanging="720"/>
      </w:pPr>
    </w:lvl>
    <w:lvl w:ilvl="4">
      <w:start w:val="1"/>
      <w:numFmt w:val="decimal"/>
      <w:lvlText w:val="%5."/>
      <w:lvlJc w:val="left"/>
      <w:pPr>
        <w:tabs>
          <w:tab w:val="num" w:pos="4392"/>
        </w:tabs>
        <w:ind w:left="4392" w:hanging="720"/>
      </w:pPr>
    </w:lvl>
    <w:lvl w:ilvl="5">
      <w:start w:val="1"/>
      <w:numFmt w:val="decimal"/>
      <w:lvlText w:val="%6."/>
      <w:lvlJc w:val="left"/>
      <w:pPr>
        <w:tabs>
          <w:tab w:val="num" w:pos="5112"/>
        </w:tabs>
        <w:ind w:left="5112" w:hanging="720"/>
      </w:pPr>
    </w:lvl>
    <w:lvl w:ilvl="6">
      <w:start w:val="1"/>
      <w:numFmt w:val="decimal"/>
      <w:lvlText w:val="%7."/>
      <w:lvlJc w:val="left"/>
      <w:pPr>
        <w:tabs>
          <w:tab w:val="num" w:pos="5832"/>
        </w:tabs>
        <w:ind w:left="5832" w:hanging="720"/>
      </w:pPr>
    </w:lvl>
    <w:lvl w:ilvl="7">
      <w:start w:val="1"/>
      <w:numFmt w:val="decimal"/>
      <w:lvlText w:val="%8."/>
      <w:lvlJc w:val="left"/>
      <w:pPr>
        <w:tabs>
          <w:tab w:val="num" w:pos="6552"/>
        </w:tabs>
        <w:ind w:left="6552" w:hanging="720"/>
      </w:pPr>
    </w:lvl>
    <w:lvl w:ilvl="8">
      <w:start w:val="1"/>
      <w:numFmt w:val="decimal"/>
      <w:lvlText w:val="%9."/>
      <w:lvlJc w:val="left"/>
      <w:pPr>
        <w:tabs>
          <w:tab w:val="num" w:pos="7272"/>
        </w:tabs>
        <w:ind w:left="7272" w:hanging="720"/>
      </w:pPr>
    </w:lvl>
  </w:abstractNum>
  <w:abstractNum w:abstractNumId="5" w15:restartNumberingAfterBreak="0">
    <w:nsid w:val="12CF36F0"/>
    <w:multiLevelType w:val="hybridMultilevel"/>
    <w:tmpl w:val="BAC251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B636765"/>
    <w:multiLevelType w:val="hybridMultilevel"/>
    <w:tmpl w:val="C122D3BC"/>
    <w:lvl w:ilvl="0" w:tplc="F81AB6C2">
      <w:start w:val="6"/>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1D9C14A3"/>
    <w:multiLevelType w:val="hybridMultilevel"/>
    <w:tmpl w:val="D99E3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EC0601A"/>
    <w:multiLevelType w:val="multilevel"/>
    <w:tmpl w:val="C6A8CCEA"/>
    <w:styleLink w:val="Headings"/>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9" w15:restartNumberingAfterBreak="0">
    <w:nsid w:val="20127FE7"/>
    <w:multiLevelType w:val="hybridMultilevel"/>
    <w:tmpl w:val="7490587A"/>
    <w:lvl w:ilvl="0" w:tplc="60C26CFC">
      <w:start w:val="19"/>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15:restartNumberingAfterBreak="0">
    <w:nsid w:val="27187775"/>
    <w:multiLevelType w:val="multilevel"/>
    <w:tmpl w:val="33A4962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7B33965"/>
    <w:multiLevelType w:val="multilevel"/>
    <w:tmpl w:val="39DC232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28F170F6"/>
    <w:multiLevelType w:val="hybridMultilevel"/>
    <w:tmpl w:val="DB54D718"/>
    <w:lvl w:ilvl="0" w:tplc="0409000F">
      <w:start w:val="12"/>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B8306CA"/>
    <w:multiLevelType w:val="multilevel"/>
    <w:tmpl w:val="25DA742A"/>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C0C017F"/>
    <w:multiLevelType w:val="hybridMultilevel"/>
    <w:tmpl w:val="07CC92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36D072D"/>
    <w:multiLevelType w:val="hybridMultilevel"/>
    <w:tmpl w:val="D638DD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41543A9"/>
    <w:multiLevelType w:val="multilevel"/>
    <w:tmpl w:val="CF92B420"/>
    <w:lvl w:ilvl="0">
      <w:start w:val="1"/>
      <w:numFmt w:val="lowerLetter"/>
      <w:lvlText w:val="%1."/>
      <w:lvlJc w:val="left"/>
      <w:pPr>
        <w:tabs>
          <w:tab w:val="num" w:pos="3512"/>
        </w:tabs>
        <w:ind w:left="3512" w:hanging="720"/>
      </w:pPr>
    </w:lvl>
    <w:lvl w:ilvl="1">
      <w:start w:val="1"/>
      <w:numFmt w:val="decimal"/>
      <w:lvlText w:val="%2."/>
      <w:lvlJc w:val="left"/>
      <w:pPr>
        <w:tabs>
          <w:tab w:val="num" w:pos="4232"/>
        </w:tabs>
        <w:ind w:left="4232" w:hanging="720"/>
      </w:pPr>
    </w:lvl>
    <w:lvl w:ilvl="2">
      <w:start w:val="1"/>
      <w:numFmt w:val="decimal"/>
      <w:lvlText w:val="%3."/>
      <w:lvlJc w:val="left"/>
      <w:pPr>
        <w:tabs>
          <w:tab w:val="num" w:pos="4952"/>
        </w:tabs>
        <w:ind w:left="4952" w:hanging="720"/>
      </w:pPr>
    </w:lvl>
    <w:lvl w:ilvl="3">
      <w:start w:val="1"/>
      <w:numFmt w:val="decimal"/>
      <w:lvlText w:val="%4."/>
      <w:lvlJc w:val="left"/>
      <w:pPr>
        <w:tabs>
          <w:tab w:val="num" w:pos="5672"/>
        </w:tabs>
        <w:ind w:left="5672" w:hanging="720"/>
      </w:pPr>
    </w:lvl>
    <w:lvl w:ilvl="4">
      <w:start w:val="1"/>
      <w:numFmt w:val="decimal"/>
      <w:lvlText w:val="%5."/>
      <w:lvlJc w:val="left"/>
      <w:pPr>
        <w:tabs>
          <w:tab w:val="num" w:pos="6392"/>
        </w:tabs>
        <w:ind w:left="6392" w:hanging="720"/>
      </w:pPr>
    </w:lvl>
    <w:lvl w:ilvl="5">
      <w:start w:val="1"/>
      <w:numFmt w:val="decimal"/>
      <w:lvlText w:val="%6."/>
      <w:lvlJc w:val="left"/>
      <w:pPr>
        <w:tabs>
          <w:tab w:val="num" w:pos="7112"/>
        </w:tabs>
        <w:ind w:left="7112" w:hanging="720"/>
      </w:pPr>
    </w:lvl>
    <w:lvl w:ilvl="6">
      <w:start w:val="1"/>
      <w:numFmt w:val="decimal"/>
      <w:lvlText w:val="%7."/>
      <w:lvlJc w:val="left"/>
      <w:pPr>
        <w:tabs>
          <w:tab w:val="num" w:pos="7832"/>
        </w:tabs>
        <w:ind w:left="7832" w:hanging="720"/>
      </w:pPr>
    </w:lvl>
    <w:lvl w:ilvl="7">
      <w:start w:val="1"/>
      <w:numFmt w:val="decimal"/>
      <w:lvlText w:val="%8."/>
      <w:lvlJc w:val="left"/>
      <w:pPr>
        <w:tabs>
          <w:tab w:val="num" w:pos="8552"/>
        </w:tabs>
        <w:ind w:left="8552" w:hanging="720"/>
      </w:pPr>
    </w:lvl>
    <w:lvl w:ilvl="8">
      <w:start w:val="1"/>
      <w:numFmt w:val="decimal"/>
      <w:lvlText w:val="%9."/>
      <w:lvlJc w:val="left"/>
      <w:pPr>
        <w:tabs>
          <w:tab w:val="num" w:pos="9272"/>
        </w:tabs>
        <w:ind w:left="9272" w:hanging="720"/>
      </w:pPr>
    </w:lvl>
  </w:abstractNum>
  <w:abstractNum w:abstractNumId="17" w15:restartNumberingAfterBreak="0">
    <w:nsid w:val="3628488C"/>
    <w:multiLevelType w:val="hybridMultilevel"/>
    <w:tmpl w:val="DCD095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9944BE"/>
    <w:multiLevelType w:val="hybridMultilevel"/>
    <w:tmpl w:val="FEA21202"/>
    <w:lvl w:ilvl="0" w:tplc="240A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9" w15:restartNumberingAfterBreak="0">
    <w:nsid w:val="36BA4B46"/>
    <w:multiLevelType w:val="hybridMultilevel"/>
    <w:tmpl w:val="FD8C9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7811EF8"/>
    <w:multiLevelType w:val="multilevel"/>
    <w:tmpl w:val="D2E2E838"/>
    <w:lvl w:ilvl="0">
      <w:start w:val="3"/>
      <w:numFmt w:val="decimal"/>
      <w:lvlText w:val="%1."/>
      <w:lvlJc w:val="left"/>
      <w:pPr>
        <w:ind w:left="360" w:hanging="360"/>
      </w:pPr>
      <w:rPr>
        <w:rFonts w:hint="default"/>
      </w:rPr>
    </w:lvl>
    <w:lvl w:ilvl="1">
      <w:start w:val="1"/>
      <w:numFmt w:val="decimal"/>
      <w:lvlText w:val="%1.%2."/>
      <w:lvlJc w:val="left"/>
      <w:pPr>
        <w:ind w:left="213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E881F4F"/>
    <w:multiLevelType w:val="hybridMultilevel"/>
    <w:tmpl w:val="808CE2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40D84F62"/>
    <w:multiLevelType w:val="hybridMultilevel"/>
    <w:tmpl w:val="4E604C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488200F"/>
    <w:multiLevelType w:val="multilevel"/>
    <w:tmpl w:val="3416BC60"/>
    <w:styleLink w:val="Listaactual1"/>
    <w:lvl w:ilvl="0">
      <w:start w:val="12"/>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58AD39F5"/>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CB4968"/>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04E58C6"/>
    <w:multiLevelType w:val="multilevel"/>
    <w:tmpl w:val="F620B1D0"/>
    <w:lvl w:ilvl="0">
      <w:start w:val="12"/>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AE34701"/>
    <w:multiLevelType w:val="hybridMultilevel"/>
    <w:tmpl w:val="667618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F624800"/>
    <w:multiLevelType w:val="multilevel"/>
    <w:tmpl w:val="1694B4FE"/>
    <w:lvl w:ilvl="0">
      <w:start w:val="1"/>
      <w:numFmt w:val="lowerLetter"/>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9" w15:restartNumberingAfterBreak="0">
    <w:nsid w:val="720B7078"/>
    <w:multiLevelType w:val="multilevel"/>
    <w:tmpl w:val="DCB22058"/>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5E11CAE"/>
    <w:multiLevelType w:val="hybridMultilevel"/>
    <w:tmpl w:val="2A4AE270"/>
    <w:lvl w:ilvl="0" w:tplc="9760D7D2">
      <w:start w:val="17"/>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1" w15:restartNumberingAfterBreak="0">
    <w:nsid w:val="7C010BA0"/>
    <w:multiLevelType w:val="multilevel"/>
    <w:tmpl w:val="4A96AAD2"/>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num w:numId="1">
    <w:abstractNumId w:val="8"/>
  </w:num>
  <w:num w:numId="2">
    <w:abstractNumId w:val="20"/>
  </w:num>
  <w:num w:numId="3">
    <w:abstractNumId w:val="19"/>
  </w:num>
  <w:num w:numId="4">
    <w:abstractNumId w:val="17"/>
  </w:num>
  <w:num w:numId="5">
    <w:abstractNumId w:val="28"/>
  </w:num>
  <w:num w:numId="6">
    <w:abstractNumId w:val="31"/>
  </w:num>
  <w:num w:numId="7">
    <w:abstractNumId w:val="10"/>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16"/>
  </w:num>
  <w:num w:numId="11">
    <w:abstractNumId w:val="25"/>
  </w:num>
  <w:num w:numId="12">
    <w:abstractNumId w:val="11"/>
  </w:num>
  <w:num w:numId="13">
    <w:abstractNumId w:val="29"/>
  </w:num>
  <w:num w:numId="14">
    <w:abstractNumId w:val="12"/>
  </w:num>
  <w:num w:numId="15">
    <w:abstractNumId w:val="26"/>
  </w:num>
  <w:num w:numId="16">
    <w:abstractNumId w:val="13"/>
  </w:num>
  <w:num w:numId="17">
    <w:abstractNumId w:val="6"/>
  </w:num>
  <w:num w:numId="18">
    <w:abstractNumId w:val="30"/>
  </w:num>
  <w:num w:numId="19">
    <w:abstractNumId w:val="23"/>
  </w:num>
  <w:num w:numId="20">
    <w:abstractNumId w:val="2"/>
  </w:num>
  <w:num w:numId="21">
    <w:abstractNumId w:val="9"/>
  </w:num>
  <w:num w:numId="22">
    <w:abstractNumId w:val="24"/>
  </w:num>
  <w:num w:numId="23">
    <w:abstractNumId w:val="0"/>
  </w:num>
  <w:num w:numId="24">
    <w:abstractNumId w:val="15"/>
  </w:num>
  <w:num w:numId="25">
    <w:abstractNumId w:val="3"/>
  </w:num>
  <w:num w:numId="26">
    <w:abstractNumId w:val="5"/>
  </w:num>
  <w:num w:numId="27">
    <w:abstractNumId w:val="22"/>
  </w:num>
  <w:num w:numId="28">
    <w:abstractNumId w:val="1"/>
  </w:num>
  <w:num w:numId="29">
    <w:abstractNumId w:val="27"/>
  </w:num>
  <w:num w:numId="30">
    <w:abstractNumId w:val="21"/>
  </w:num>
  <w:num w:numId="31">
    <w:abstractNumId w:val="14"/>
  </w:num>
  <w:num w:numId="32">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4E25"/>
    <w:rsid w:val="00000393"/>
    <w:rsid w:val="000018AA"/>
    <w:rsid w:val="00006B4C"/>
    <w:rsid w:val="00015CF2"/>
    <w:rsid w:val="00015D57"/>
    <w:rsid w:val="00016FEA"/>
    <w:rsid w:val="000217CD"/>
    <w:rsid w:val="00021F99"/>
    <w:rsid w:val="000268FF"/>
    <w:rsid w:val="00027B9B"/>
    <w:rsid w:val="000307C7"/>
    <w:rsid w:val="0003157C"/>
    <w:rsid w:val="00032223"/>
    <w:rsid w:val="000341EA"/>
    <w:rsid w:val="000377E6"/>
    <w:rsid w:val="00037995"/>
    <w:rsid w:val="00040F04"/>
    <w:rsid w:val="00041FE0"/>
    <w:rsid w:val="00042745"/>
    <w:rsid w:val="000427A4"/>
    <w:rsid w:val="00047C3C"/>
    <w:rsid w:val="0005096E"/>
    <w:rsid w:val="00053D4E"/>
    <w:rsid w:val="00053E7B"/>
    <w:rsid w:val="00056F44"/>
    <w:rsid w:val="00057BB7"/>
    <w:rsid w:val="0006031E"/>
    <w:rsid w:val="00061320"/>
    <w:rsid w:val="00061C8C"/>
    <w:rsid w:val="00061E79"/>
    <w:rsid w:val="0006640E"/>
    <w:rsid w:val="00067756"/>
    <w:rsid w:val="000723D3"/>
    <w:rsid w:val="00080292"/>
    <w:rsid w:val="0008085A"/>
    <w:rsid w:val="000908B3"/>
    <w:rsid w:val="0009732E"/>
    <w:rsid w:val="000A0579"/>
    <w:rsid w:val="000A28B2"/>
    <w:rsid w:val="000A414B"/>
    <w:rsid w:val="000A5C12"/>
    <w:rsid w:val="000A6A66"/>
    <w:rsid w:val="000B393B"/>
    <w:rsid w:val="000B3FC2"/>
    <w:rsid w:val="000C7A10"/>
    <w:rsid w:val="000D19A2"/>
    <w:rsid w:val="000D3931"/>
    <w:rsid w:val="000D46E3"/>
    <w:rsid w:val="000D4A63"/>
    <w:rsid w:val="000D7E2D"/>
    <w:rsid w:val="000E44AC"/>
    <w:rsid w:val="000F1286"/>
    <w:rsid w:val="000F3289"/>
    <w:rsid w:val="000F7A20"/>
    <w:rsid w:val="00102432"/>
    <w:rsid w:val="001038AE"/>
    <w:rsid w:val="001055BA"/>
    <w:rsid w:val="001114E2"/>
    <w:rsid w:val="00113EE0"/>
    <w:rsid w:val="001221AE"/>
    <w:rsid w:val="0012238F"/>
    <w:rsid w:val="00124E25"/>
    <w:rsid w:val="00131D49"/>
    <w:rsid w:val="00136C38"/>
    <w:rsid w:val="00137751"/>
    <w:rsid w:val="001425C9"/>
    <w:rsid w:val="001444F0"/>
    <w:rsid w:val="00151FC0"/>
    <w:rsid w:val="00153CB4"/>
    <w:rsid w:val="001557E9"/>
    <w:rsid w:val="00155E8A"/>
    <w:rsid w:val="001568AA"/>
    <w:rsid w:val="00156C70"/>
    <w:rsid w:val="001600C1"/>
    <w:rsid w:val="00160312"/>
    <w:rsid w:val="00161DF9"/>
    <w:rsid w:val="0016220C"/>
    <w:rsid w:val="001727C8"/>
    <w:rsid w:val="00181B13"/>
    <w:rsid w:val="00181ED4"/>
    <w:rsid w:val="00191161"/>
    <w:rsid w:val="00193155"/>
    <w:rsid w:val="00197550"/>
    <w:rsid w:val="001977CD"/>
    <w:rsid w:val="00197CE9"/>
    <w:rsid w:val="001A22FD"/>
    <w:rsid w:val="001A6417"/>
    <w:rsid w:val="001A6648"/>
    <w:rsid w:val="001A68BD"/>
    <w:rsid w:val="001A6F24"/>
    <w:rsid w:val="001B2075"/>
    <w:rsid w:val="001C0021"/>
    <w:rsid w:val="001C39D8"/>
    <w:rsid w:val="001C413F"/>
    <w:rsid w:val="001C4BAC"/>
    <w:rsid w:val="001C5E74"/>
    <w:rsid w:val="001C65FD"/>
    <w:rsid w:val="001C79C3"/>
    <w:rsid w:val="001D37DB"/>
    <w:rsid w:val="001D4578"/>
    <w:rsid w:val="001D5BBD"/>
    <w:rsid w:val="001D638A"/>
    <w:rsid w:val="001D720B"/>
    <w:rsid w:val="00200772"/>
    <w:rsid w:val="00201AED"/>
    <w:rsid w:val="00204412"/>
    <w:rsid w:val="002063BA"/>
    <w:rsid w:val="002077EE"/>
    <w:rsid w:val="00210848"/>
    <w:rsid w:val="00211C09"/>
    <w:rsid w:val="002164ED"/>
    <w:rsid w:val="002207D9"/>
    <w:rsid w:val="002239D1"/>
    <w:rsid w:val="00226067"/>
    <w:rsid w:val="0023289C"/>
    <w:rsid w:val="002329ED"/>
    <w:rsid w:val="00247923"/>
    <w:rsid w:val="00250698"/>
    <w:rsid w:val="00252797"/>
    <w:rsid w:val="00262C8F"/>
    <w:rsid w:val="00271276"/>
    <w:rsid w:val="002736D6"/>
    <w:rsid w:val="00276550"/>
    <w:rsid w:val="00276E48"/>
    <w:rsid w:val="002779B0"/>
    <w:rsid w:val="002802E5"/>
    <w:rsid w:val="002805AB"/>
    <w:rsid w:val="002822D7"/>
    <w:rsid w:val="002867F1"/>
    <w:rsid w:val="00291619"/>
    <w:rsid w:val="0029175B"/>
    <w:rsid w:val="00292BB9"/>
    <w:rsid w:val="00293331"/>
    <w:rsid w:val="00293AB3"/>
    <w:rsid w:val="002A0098"/>
    <w:rsid w:val="002A1B8B"/>
    <w:rsid w:val="002A4C3E"/>
    <w:rsid w:val="002B0A96"/>
    <w:rsid w:val="002B0ACE"/>
    <w:rsid w:val="002B485F"/>
    <w:rsid w:val="002B4F46"/>
    <w:rsid w:val="002B5C5E"/>
    <w:rsid w:val="002B620D"/>
    <w:rsid w:val="002B7DC3"/>
    <w:rsid w:val="002C2B9E"/>
    <w:rsid w:val="002C4D27"/>
    <w:rsid w:val="002D0942"/>
    <w:rsid w:val="002D2834"/>
    <w:rsid w:val="002D4D47"/>
    <w:rsid w:val="002D506F"/>
    <w:rsid w:val="002D655D"/>
    <w:rsid w:val="002D7EED"/>
    <w:rsid w:val="002E61EA"/>
    <w:rsid w:val="002E675B"/>
    <w:rsid w:val="002F2431"/>
    <w:rsid w:val="002F5ED8"/>
    <w:rsid w:val="002F7B48"/>
    <w:rsid w:val="00304E65"/>
    <w:rsid w:val="00305805"/>
    <w:rsid w:val="00311D80"/>
    <w:rsid w:val="00313F6C"/>
    <w:rsid w:val="00314F6C"/>
    <w:rsid w:val="0031718A"/>
    <w:rsid w:val="00322FB3"/>
    <w:rsid w:val="0032533A"/>
    <w:rsid w:val="003308C1"/>
    <w:rsid w:val="003334FD"/>
    <w:rsid w:val="00333523"/>
    <w:rsid w:val="00336EFE"/>
    <w:rsid w:val="0034155F"/>
    <w:rsid w:val="003438DB"/>
    <w:rsid w:val="00344484"/>
    <w:rsid w:val="00351A68"/>
    <w:rsid w:val="00354F6F"/>
    <w:rsid w:val="00355D9B"/>
    <w:rsid w:val="00356684"/>
    <w:rsid w:val="00356838"/>
    <w:rsid w:val="00357A1C"/>
    <w:rsid w:val="00363159"/>
    <w:rsid w:val="00363B80"/>
    <w:rsid w:val="00365B6B"/>
    <w:rsid w:val="00366904"/>
    <w:rsid w:val="00366F70"/>
    <w:rsid w:val="00367FE6"/>
    <w:rsid w:val="00373B57"/>
    <w:rsid w:val="0037479F"/>
    <w:rsid w:val="00376AD9"/>
    <w:rsid w:val="00382BE7"/>
    <w:rsid w:val="003830B3"/>
    <w:rsid w:val="00383B2D"/>
    <w:rsid w:val="00385E8E"/>
    <w:rsid w:val="00387252"/>
    <w:rsid w:val="00390148"/>
    <w:rsid w:val="00392BB4"/>
    <w:rsid w:val="003B376F"/>
    <w:rsid w:val="003B4E44"/>
    <w:rsid w:val="003B4F37"/>
    <w:rsid w:val="003B711F"/>
    <w:rsid w:val="003C164E"/>
    <w:rsid w:val="003C3883"/>
    <w:rsid w:val="003C6EEC"/>
    <w:rsid w:val="003D02F7"/>
    <w:rsid w:val="003D3F0A"/>
    <w:rsid w:val="003D406A"/>
    <w:rsid w:val="003D48EB"/>
    <w:rsid w:val="003D695D"/>
    <w:rsid w:val="003E12CC"/>
    <w:rsid w:val="003E23D1"/>
    <w:rsid w:val="003E2F53"/>
    <w:rsid w:val="003E76D7"/>
    <w:rsid w:val="003F1623"/>
    <w:rsid w:val="003F324E"/>
    <w:rsid w:val="00402449"/>
    <w:rsid w:val="00414D95"/>
    <w:rsid w:val="004207C9"/>
    <w:rsid w:val="004214DB"/>
    <w:rsid w:val="00426445"/>
    <w:rsid w:val="00427B0D"/>
    <w:rsid w:val="0043175D"/>
    <w:rsid w:val="00432859"/>
    <w:rsid w:val="00432AB5"/>
    <w:rsid w:val="00433F7C"/>
    <w:rsid w:val="004342E5"/>
    <w:rsid w:val="00435BC3"/>
    <w:rsid w:val="00435E47"/>
    <w:rsid w:val="00437920"/>
    <w:rsid w:val="0044018A"/>
    <w:rsid w:val="004429D4"/>
    <w:rsid w:val="00443BBD"/>
    <w:rsid w:val="00443F6A"/>
    <w:rsid w:val="004453BC"/>
    <w:rsid w:val="0045292C"/>
    <w:rsid w:val="004550F5"/>
    <w:rsid w:val="00455A10"/>
    <w:rsid w:val="004606CD"/>
    <w:rsid w:val="00462B8B"/>
    <w:rsid w:val="00464146"/>
    <w:rsid w:val="00464B1C"/>
    <w:rsid w:val="00465004"/>
    <w:rsid w:val="00466794"/>
    <w:rsid w:val="00466BE9"/>
    <w:rsid w:val="0047049F"/>
    <w:rsid w:val="0047389F"/>
    <w:rsid w:val="00476FC2"/>
    <w:rsid w:val="00480A5D"/>
    <w:rsid w:val="00480D81"/>
    <w:rsid w:val="00483B49"/>
    <w:rsid w:val="00491C13"/>
    <w:rsid w:val="004A2279"/>
    <w:rsid w:val="004A2F6D"/>
    <w:rsid w:val="004A49B4"/>
    <w:rsid w:val="004B0782"/>
    <w:rsid w:val="004B20FA"/>
    <w:rsid w:val="004B4AB3"/>
    <w:rsid w:val="004B6035"/>
    <w:rsid w:val="004C056D"/>
    <w:rsid w:val="004C08FB"/>
    <w:rsid w:val="004C4424"/>
    <w:rsid w:val="004C62EB"/>
    <w:rsid w:val="004C758B"/>
    <w:rsid w:val="004D060F"/>
    <w:rsid w:val="004D06DD"/>
    <w:rsid w:val="004D4F8A"/>
    <w:rsid w:val="004D5CA4"/>
    <w:rsid w:val="004E11E3"/>
    <w:rsid w:val="004E4844"/>
    <w:rsid w:val="004E619E"/>
    <w:rsid w:val="004F0CE9"/>
    <w:rsid w:val="004F0F0B"/>
    <w:rsid w:val="004F2301"/>
    <w:rsid w:val="004F2FB2"/>
    <w:rsid w:val="004F3625"/>
    <w:rsid w:val="004F54B6"/>
    <w:rsid w:val="00501A69"/>
    <w:rsid w:val="00514433"/>
    <w:rsid w:val="0051504E"/>
    <w:rsid w:val="005155B7"/>
    <w:rsid w:val="00517C8C"/>
    <w:rsid w:val="00517DE9"/>
    <w:rsid w:val="00520404"/>
    <w:rsid w:val="00520CAD"/>
    <w:rsid w:val="0052235F"/>
    <w:rsid w:val="0052499B"/>
    <w:rsid w:val="00527B3A"/>
    <w:rsid w:val="005332B3"/>
    <w:rsid w:val="005342C6"/>
    <w:rsid w:val="005361B8"/>
    <w:rsid w:val="005517FE"/>
    <w:rsid w:val="00552D4B"/>
    <w:rsid w:val="005537FC"/>
    <w:rsid w:val="00554772"/>
    <w:rsid w:val="00554BE3"/>
    <w:rsid w:val="005555C7"/>
    <w:rsid w:val="005635E8"/>
    <w:rsid w:val="00564D7D"/>
    <w:rsid w:val="00565F3F"/>
    <w:rsid w:val="00565FC7"/>
    <w:rsid w:val="0056658A"/>
    <w:rsid w:val="00566EF4"/>
    <w:rsid w:val="00571C6B"/>
    <w:rsid w:val="00583260"/>
    <w:rsid w:val="005856AD"/>
    <w:rsid w:val="00586E96"/>
    <w:rsid w:val="00590DE8"/>
    <w:rsid w:val="005948AE"/>
    <w:rsid w:val="00596513"/>
    <w:rsid w:val="0059770D"/>
    <w:rsid w:val="005A04AD"/>
    <w:rsid w:val="005A2FF0"/>
    <w:rsid w:val="005A3147"/>
    <w:rsid w:val="005A3874"/>
    <w:rsid w:val="005A63F4"/>
    <w:rsid w:val="005A68A5"/>
    <w:rsid w:val="005B043D"/>
    <w:rsid w:val="005B458F"/>
    <w:rsid w:val="005B5C75"/>
    <w:rsid w:val="005B6B2D"/>
    <w:rsid w:val="005B7740"/>
    <w:rsid w:val="005C052B"/>
    <w:rsid w:val="005C1BC5"/>
    <w:rsid w:val="005C2067"/>
    <w:rsid w:val="005C2B46"/>
    <w:rsid w:val="005C4859"/>
    <w:rsid w:val="005C6801"/>
    <w:rsid w:val="005C7BD9"/>
    <w:rsid w:val="005C7DA9"/>
    <w:rsid w:val="005D24F0"/>
    <w:rsid w:val="005D512A"/>
    <w:rsid w:val="005E0D23"/>
    <w:rsid w:val="005E1533"/>
    <w:rsid w:val="005E1E8B"/>
    <w:rsid w:val="005E39B6"/>
    <w:rsid w:val="005E3A4B"/>
    <w:rsid w:val="005E3C8E"/>
    <w:rsid w:val="005E4D35"/>
    <w:rsid w:val="005F0D8B"/>
    <w:rsid w:val="005F3B2B"/>
    <w:rsid w:val="005F44F5"/>
    <w:rsid w:val="005F733D"/>
    <w:rsid w:val="00601834"/>
    <w:rsid w:val="00602757"/>
    <w:rsid w:val="0060429F"/>
    <w:rsid w:val="00604DBA"/>
    <w:rsid w:val="0061284B"/>
    <w:rsid w:val="00615C7C"/>
    <w:rsid w:val="006161A2"/>
    <w:rsid w:val="00617E9F"/>
    <w:rsid w:val="006221F3"/>
    <w:rsid w:val="00622E6E"/>
    <w:rsid w:val="00623EA5"/>
    <w:rsid w:val="006268AD"/>
    <w:rsid w:val="006268D3"/>
    <w:rsid w:val="006279D8"/>
    <w:rsid w:val="00627F4A"/>
    <w:rsid w:val="00630138"/>
    <w:rsid w:val="00630692"/>
    <w:rsid w:val="00634881"/>
    <w:rsid w:val="00634A08"/>
    <w:rsid w:val="00635A7C"/>
    <w:rsid w:val="0063649F"/>
    <w:rsid w:val="0063688C"/>
    <w:rsid w:val="00644764"/>
    <w:rsid w:val="0064598C"/>
    <w:rsid w:val="00645E2E"/>
    <w:rsid w:val="00646826"/>
    <w:rsid w:val="006474FC"/>
    <w:rsid w:val="0065089A"/>
    <w:rsid w:val="00650A93"/>
    <w:rsid w:val="00651071"/>
    <w:rsid w:val="006510A1"/>
    <w:rsid w:val="006516D6"/>
    <w:rsid w:val="00651AD2"/>
    <w:rsid w:val="00651CC2"/>
    <w:rsid w:val="00653DAC"/>
    <w:rsid w:val="00654064"/>
    <w:rsid w:val="0065569E"/>
    <w:rsid w:val="006559A5"/>
    <w:rsid w:val="0065665B"/>
    <w:rsid w:val="00656F68"/>
    <w:rsid w:val="00657DB6"/>
    <w:rsid w:val="00660992"/>
    <w:rsid w:val="00661889"/>
    <w:rsid w:val="00664549"/>
    <w:rsid w:val="00664F24"/>
    <w:rsid w:val="00665A9A"/>
    <w:rsid w:val="00666125"/>
    <w:rsid w:val="006713D9"/>
    <w:rsid w:val="00675A01"/>
    <w:rsid w:val="006809EB"/>
    <w:rsid w:val="0068289F"/>
    <w:rsid w:val="00683487"/>
    <w:rsid w:val="006839E0"/>
    <w:rsid w:val="00683DD9"/>
    <w:rsid w:val="006853D8"/>
    <w:rsid w:val="00690858"/>
    <w:rsid w:val="00691EA6"/>
    <w:rsid w:val="006A0A42"/>
    <w:rsid w:val="006A4492"/>
    <w:rsid w:val="006A4D9B"/>
    <w:rsid w:val="006A4E70"/>
    <w:rsid w:val="006B01A1"/>
    <w:rsid w:val="006B080D"/>
    <w:rsid w:val="006B1244"/>
    <w:rsid w:val="006B13B0"/>
    <w:rsid w:val="006B4393"/>
    <w:rsid w:val="006B4AB6"/>
    <w:rsid w:val="006B6198"/>
    <w:rsid w:val="006B6BF0"/>
    <w:rsid w:val="006C1C09"/>
    <w:rsid w:val="006C20C2"/>
    <w:rsid w:val="006C235E"/>
    <w:rsid w:val="006C3534"/>
    <w:rsid w:val="006C6BE4"/>
    <w:rsid w:val="006D562C"/>
    <w:rsid w:val="006D6CCA"/>
    <w:rsid w:val="006E084F"/>
    <w:rsid w:val="006E7829"/>
    <w:rsid w:val="006E7CC9"/>
    <w:rsid w:val="006E7F9A"/>
    <w:rsid w:val="006F2611"/>
    <w:rsid w:val="006F38D8"/>
    <w:rsid w:val="006F5FBB"/>
    <w:rsid w:val="00701BE2"/>
    <w:rsid w:val="00705227"/>
    <w:rsid w:val="00707240"/>
    <w:rsid w:val="00707D1E"/>
    <w:rsid w:val="00711D86"/>
    <w:rsid w:val="00712428"/>
    <w:rsid w:val="007160E9"/>
    <w:rsid w:val="00725B27"/>
    <w:rsid w:val="00727A10"/>
    <w:rsid w:val="00731D0F"/>
    <w:rsid w:val="00731F64"/>
    <w:rsid w:val="007356D9"/>
    <w:rsid w:val="00743355"/>
    <w:rsid w:val="00751645"/>
    <w:rsid w:val="007523A0"/>
    <w:rsid w:val="00752A45"/>
    <w:rsid w:val="007534A6"/>
    <w:rsid w:val="00757246"/>
    <w:rsid w:val="007606CE"/>
    <w:rsid w:val="0076099B"/>
    <w:rsid w:val="007609E6"/>
    <w:rsid w:val="00764971"/>
    <w:rsid w:val="00767053"/>
    <w:rsid w:val="007672BA"/>
    <w:rsid w:val="00771052"/>
    <w:rsid w:val="007717DD"/>
    <w:rsid w:val="007732B8"/>
    <w:rsid w:val="00774F76"/>
    <w:rsid w:val="00775491"/>
    <w:rsid w:val="00776C6E"/>
    <w:rsid w:val="007836E4"/>
    <w:rsid w:val="007838DC"/>
    <w:rsid w:val="007858E0"/>
    <w:rsid w:val="00790F31"/>
    <w:rsid w:val="007941BC"/>
    <w:rsid w:val="0079649D"/>
    <w:rsid w:val="007A5C03"/>
    <w:rsid w:val="007B0F53"/>
    <w:rsid w:val="007B11EB"/>
    <w:rsid w:val="007B2961"/>
    <w:rsid w:val="007B4AE6"/>
    <w:rsid w:val="007B5C34"/>
    <w:rsid w:val="007B73D2"/>
    <w:rsid w:val="007B7E5D"/>
    <w:rsid w:val="007D24A3"/>
    <w:rsid w:val="007D386F"/>
    <w:rsid w:val="007D47CD"/>
    <w:rsid w:val="007D5C98"/>
    <w:rsid w:val="007D5EA2"/>
    <w:rsid w:val="007E3A07"/>
    <w:rsid w:val="007E5054"/>
    <w:rsid w:val="007E5157"/>
    <w:rsid w:val="007E559E"/>
    <w:rsid w:val="007E5D58"/>
    <w:rsid w:val="007F0E87"/>
    <w:rsid w:val="007F13B2"/>
    <w:rsid w:val="007F36F9"/>
    <w:rsid w:val="007F37BE"/>
    <w:rsid w:val="007F3991"/>
    <w:rsid w:val="007F4D70"/>
    <w:rsid w:val="0080128A"/>
    <w:rsid w:val="00805A28"/>
    <w:rsid w:val="008103D5"/>
    <w:rsid w:val="00812E47"/>
    <w:rsid w:val="0081375F"/>
    <w:rsid w:val="0081399F"/>
    <w:rsid w:val="0081798C"/>
    <w:rsid w:val="00820692"/>
    <w:rsid w:val="00825C12"/>
    <w:rsid w:val="00825E3C"/>
    <w:rsid w:val="00827C29"/>
    <w:rsid w:val="00830023"/>
    <w:rsid w:val="00832ABB"/>
    <w:rsid w:val="00834277"/>
    <w:rsid w:val="00835B40"/>
    <w:rsid w:val="008427EE"/>
    <w:rsid w:val="00844A41"/>
    <w:rsid w:val="00844A82"/>
    <w:rsid w:val="0084799C"/>
    <w:rsid w:val="00847B58"/>
    <w:rsid w:val="00852A74"/>
    <w:rsid w:val="00853E23"/>
    <w:rsid w:val="00853FA5"/>
    <w:rsid w:val="008545F9"/>
    <w:rsid w:val="00855A82"/>
    <w:rsid w:val="0085610A"/>
    <w:rsid w:val="00857C4B"/>
    <w:rsid w:val="00867004"/>
    <w:rsid w:val="00870FCA"/>
    <w:rsid w:val="0087112A"/>
    <w:rsid w:val="008744D9"/>
    <w:rsid w:val="00882045"/>
    <w:rsid w:val="00882BC4"/>
    <w:rsid w:val="00884193"/>
    <w:rsid w:val="0088481D"/>
    <w:rsid w:val="008863AF"/>
    <w:rsid w:val="008875E2"/>
    <w:rsid w:val="00896A4F"/>
    <w:rsid w:val="008A162D"/>
    <w:rsid w:val="008A263E"/>
    <w:rsid w:val="008A42D9"/>
    <w:rsid w:val="008A43C7"/>
    <w:rsid w:val="008A45D8"/>
    <w:rsid w:val="008A4EA5"/>
    <w:rsid w:val="008A56E2"/>
    <w:rsid w:val="008A5F85"/>
    <w:rsid w:val="008B11FA"/>
    <w:rsid w:val="008B2DF6"/>
    <w:rsid w:val="008C3806"/>
    <w:rsid w:val="008C45D8"/>
    <w:rsid w:val="008D25E4"/>
    <w:rsid w:val="008D6815"/>
    <w:rsid w:val="008E0A7A"/>
    <w:rsid w:val="008E308B"/>
    <w:rsid w:val="008E6AE1"/>
    <w:rsid w:val="008F0746"/>
    <w:rsid w:val="008F0AE2"/>
    <w:rsid w:val="008F1217"/>
    <w:rsid w:val="008F40D2"/>
    <w:rsid w:val="008F4579"/>
    <w:rsid w:val="00900181"/>
    <w:rsid w:val="009114AE"/>
    <w:rsid w:val="00912644"/>
    <w:rsid w:val="0091302B"/>
    <w:rsid w:val="00917A86"/>
    <w:rsid w:val="0092085F"/>
    <w:rsid w:val="00920AA8"/>
    <w:rsid w:val="00922924"/>
    <w:rsid w:val="009249C1"/>
    <w:rsid w:val="00924E14"/>
    <w:rsid w:val="00927889"/>
    <w:rsid w:val="0093045A"/>
    <w:rsid w:val="009305C5"/>
    <w:rsid w:val="00930C2E"/>
    <w:rsid w:val="00931953"/>
    <w:rsid w:val="00931AD1"/>
    <w:rsid w:val="00933E70"/>
    <w:rsid w:val="00935AB5"/>
    <w:rsid w:val="00935F3A"/>
    <w:rsid w:val="00942D5F"/>
    <w:rsid w:val="009431C7"/>
    <w:rsid w:val="00943735"/>
    <w:rsid w:val="009442B9"/>
    <w:rsid w:val="0094492A"/>
    <w:rsid w:val="00946CF9"/>
    <w:rsid w:val="009477AE"/>
    <w:rsid w:val="00950AA3"/>
    <w:rsid w:val="0095100B"/>
    <w:rsid w:val="00951F50"/>
    <w:rsid w:val="00954A89"/>
    <w:rsid w:val="00957A02"/>
    <w:rsid w:val="009606F4"/>
    <w:rsid w:val="009617C4"/>
    <w:rsid w:val="00961D28"/>
    <w:rsid w:val="00962022"/>
    <w:rsid w:val="009655C3"/>
    <w:rsid w:val="00965969"/>
    <w:rsid w:val="009672C2"/>
    <w:rsid w:val="00970557"/>
    <w:rsid w:val="00973FF6"/>
    <w:rsid w:val="009749B1"/>
    <w:rsid w:val="0097664E"/>
    <w:rsid w:val="00980E55"/>
    <w:rsid w:val="00982541"/>
    <w:rsid w:val="00984577"/>
    <w:rsid w:val="00984878"/>
    <w:rsid w:val="00984CE3"/>
    <w:rsid w:val="009869F9"/>
    <w:rsid w:val="009907B6"/>
    <w:rsid w:val="00993CD9"/>
    <w:rsid w:val="00996BC4"/>
    <w:rsid w:val="00996D55"/>
    <w:rsid w:val="009A3F94"/>
    <w:rsid w:val="009A6A1B"/>
    <w:rsid w:val="009B08BC"/>
    <w:rsid w:val="009B117E"/>
    <w:rsid w:val="009B34DD"/>
    <w:rsid w:val="009B3945"/>
    <w:rsid w:val="009B3E35"/>
    <w:rsid w:val="009C0341"/>
    <w:rsid w:val="009C085E"/>
    <w:rsid w:val="009C3969"/>
    <w:rsid w:val="009C39AF"/>
    <w:rsid w:val="009C5D06"/>
    <w:rsid w:val="009D0262"/>
    <w:rsid w:val="009D24DB"/>
    <w:rsid w:val="009D2B0C"/>
    <w:rsid w:val="009D7053"/>
    <w:rsid w:val="009E252D"/>
    <w:rsid w:val="009E3D78"/>
    <w:rsid w:val="009F0362"/>
    <w:rsid w:val="009F0389"/>
    <w:rsid w:val="009F09D1"/>
    <w:rsid w:val="009F22A7"/>
    <w:rsid w:val="009F2398"/>
    <w:rsid w:val="009F2A06"/>
    <w:rsid w:val="009F437A"/>
    <w:rsid w:val="009F5400"/>
    <w:rsid w:val="00A01CDB"/>
    <w:rsid w:val="00A06313"/>
    <w:rsid w:val="00A06362"/>
    <w:rsid w:val="00A06AE7"/>
    <w:rsid w:val="00A06D86"/>
    <w:rsid w:val="00A0747A"/>
    <w:rsid w:val="00A1094A"/>
    <w:rsid w:val="00A12750"/>
    <w:rsid w:val="00A133A9"/>
    <w:rsid w:val="00A15E15"/>
    <w:rsid w:val="00A1603A"/>
    <w:rsid w:val="00A163AC"/>
    <w:rsid w:val="00A1690E"/>
    <w:rsid w:val="00A1785F"/>
    <w:rsid w:val="00A17D64"/>
    <w:rsid w:val="00A20071"/>
    <w:rsid w:val="00A207D1"/>
    <w:rsid w:val="00A22F5E"/>
    <w:rsid w:val="00A23945"/>
    <w:rsid w:val="00A23DD7"/>
    <w:rsid w:val="00A25676"/>
    <w:rsid w:val="00A26011"/>
    <w:rsid w:val="00A301B7"/>
    <w:rsid w:val="00A32FEA"/>
    <w:rsid w:val="00A33954"/>
    <w:rsid w:val="00A36E09"/>
    <w:rsid w:val="00A37052"/>
    <w:rsid w:val="00A40A8F"/>
    <w:rsid w:val="00A438EB"/>
    <w:rsid w:val="00A46C17"/>
    <w:rsid w:val="00A47D86"/>
    <w:rsid w:val="00A56652"/>
    <w:rsid w:val="00A56D0A"/>
    <w:rsid w:val="00A56FEC"/>
    <w:rsid w:val="00A57A18"/>
    <w:rsid w:val="00A610FC"/>
    <w:rsid w:val="00A61D31"/>
    <w:rsid w:val="00A6245C"/>
    <w:rsid w:val="00A62FF9"/>
    <w:rsid w:val="00A66482"/>
    <w:rsid w:val="00A66E15"/>
    <w:rsid w:val="00A7353C"/>
    <w:rsid w:val="00A74DE2"/>
    <w:rsid w:val="00A778A5"/>
    <w:rsid w:val="00A77C80"/>
    <w:rsid w:val="00A81723"/>
    <w:rsid w:val="00A84FB2"/>
    <w:rsid w:val="00A876F2"/>
    <w:rsid w:val="00A91AAF"/>
    <w:rsid w:val="00A9499D"/>
    <w:rsid w:val="00A96C97"/>
    <w:rsid w:val="00AA001E"/>
    <w:rsid w:val="00AA1309"/>
    <w:rsid w:val="00AA60C3"/>
    <w:rsid w:val="00AA78DF"/>
    <w:rsid w:val="00AB053F"/>
    <w:rsid w:val="00AB3CCD"/>
    <w:rsid w:val="00AB52C7"/>
    <w:rsid w:val="00AC41D5"/>
    <w:rsid w:val="00AC59D4"/>
    <w:rsid w:val="00AC6F37"/>
    <w:rsid w:val="00AD0A78"/>
    <w:rsid w:val="00AD2D93"/>
    <w:rsid w:val="00AD3754"/>
    <w:rsid w:val="00AD5422"/>
    <w:rsid w:val="00AD762F"/>
    <w:rsid w:val="00AD782E"/>
    <w:rsid w:val="00AD7DA6"/>
    <w:rsid w:val="00AE1993"/>
    <w:rsid w:val="00AE341B"/>
    <w:rsid w:val="00AE72E3"/>
    <w:rsid w:val="00AE7775"/>
    <w:rsid w:val="00AF127C"/>
    <w:rsid w:val="00AF1E7B"/>
    <w:rsid w:val="00AF30F6"/>
    <w:rsid w:val="00B00015"/>
    <w:rsid w:val="00B025A8"/>
    <w:rsid w:val="00B041D6"/>
    <w:rsid w:val="00B05E8B"/>
    <w:rsid w:val="00B068DE"/>
    <w:rsid w:val="00B1119A"/>
    <w:rsid w:val="00B1121D"/>
    <w:rsid w:val="00B12797"/>
    <w:rsid w:val="00B13B02"/>
    <w:rsid w:val="00B14B70"/>
    <w:rsid w:val="00B1523F"/>
    <w:rsid w:val="00B26672"/>
    <w:rsid w:val="00B272E7"/>
    <w:rsid w:val="00B323AC"/>
    <w:rsid w:val="00B36988"/>
    <w:rsid w:val="00B41531"/>
    <w:rsid w:val="00B45E0E"/>
    <w:rsid w:val="00B46CED"/>
    <w:rsid w:val="00B50BAE"/>
    <w:rsid w:val="00B50E6F"/>
    <w:rsid w:val="00B51B36"/>
    <w:rsid w:val="00B51BA3"/>
    <w:rsid w:val="00B53218"/>
    <w:rsid w:val="00B60EB3"/>
    <w:rsid w:val="00B61BAC"/>
    <w:rsid w:val="00B66514"/>
    <w:rsid w:val="00B702D6"/>
    <w:rsid w:val="00B71593"/>
    <w:rsid w:val="00B7200B"/>
    <w:rsid w:val="00B734E1"/>
    <w:rsid w:val="00B76F0B"/>
    <w:rsid w:val="00B77B92"/>
    <w:rsid w:val="00B80CFB"/>
    <w:rsid w:val="00B83D9D"/>
    <w:rsid w:val="00B84938"/>
    <w:rsid w:val="00B92D07"/>
    <w:rsid w:val="00B93CD4"/>
    <w:rsid w:val="00B96D9D"/>
    <w:rsid w:val="00B97D0A"/>
    <w:rsid w:val="00BA148B"/>
    <w:rsid w:val="00BA56EA"/>
    <w:rsid w:val="00BA6500"/>
    <w:rsid w:val="00BB03C0"/>
    <w:rsid w:val="00BB51D7"/>
    <w:rsid w:val="00BB6223"/>
    <w:rsid w:val="00BB6466"/>
    <w:rsid w:val="00BD2A9D"/>
    <w:rsid w:val="00BD4D97"/>
    <w:rsid w:val="00BD763C"/>
    <w:rsid w:val="00BD7F99"/>
    <w:rsid w:val="00BE0F0F"/>
    <w:rsid w:val="00BE21F2"/>
    <w:rsid w:val="00BE36C7"/>
    <w:rsid w:val="00BE444E"/>
    <w:rsid w:val="00BE5792"/>
    <w:rsid w:val="00BE7242"/>
    <w:rsid w:val="00BF1471"/>
    <w:rsid w:val="00BF5C44"/>
    <w:rsid w:val="00BF5F91"/>
    <w:rsid w:val="00BF6CFF"/>
    <w:rsid w:val="00C02696"/>
    <w:rsid w:val="00C04A8D"/>
    <w:rsid w:val="00C0526A"/>
    <w:rsid w:val="00C06AA0"/>
    <w:rsid w:val="00C0702A"/>
    <w:rsid w:val="00C12135"/>
    <w:rsid w:val="00C20A08"/>
    <w:rsid w:val="00C21845"/>
    <w:rsid w:val="00C22652"/>
    <w:rsid w:val="00C22B54"/>
    <w:rsid w:val="00C2638F"/>
    <w:rsid w:val="00C30213"/>
    <w:rsid w:val="00C3076F"/>
    <w:rsid w:val="00C316F8"/>
    <w:rsid w:val="00C348EB"/>
    <w:rsid w:val="00C34B4F"/>
    <w:rsid w:val="00C35833"/>
    <w:rsid w:val="00C361E2"/>
    <w:rsid w:val="00C3696D"/>
    <w:rsid w:val="00C4662C"/>
    <w:rsid w:val="00C51A97"/>
    <w:rsid w:val="00C51FF5"/>
    <w:rsid w:val="00C52C0E"/>
    <w:rsid w:val="00C5791F"/>
    <w:rsid w:val="00C604DD"/>
    <w:rsid w:val="00C62A8A"/>
    <w:rsid w:val="00C6493B"/>
    <w:rsid w:val="00C65306"/>
    <w:rsid w:val="00C65990"/>
    <w:rsid w:val="00C77110"/>
    <w:rsid w:val="00C8452A"/>
    <w:rsid w:val="00C8497C"/>
    <w:rsid w:val="00C84A30"/>
    <w:rsid w:val="00C85BCB"/>
    <w:rsid w:val="00C90D43"/>
    <w:rsid w:val="00C90F2B"/>
    <w:rsid w:val="00C931AE"/>
    <w:rsid w:val="00C9321D"/>
    <w:rsid w:val="00CA13BA"/>
    <w:rsid w:val="00CA1F17"/>
    <w:rsid w:val="00CA31B3"/>
    <w:rsid w:val="00CA3608"/>
    <w:rsid w:val="00CA3B88"/>
    <w:rsid w:val="00CA5CD8"/>
    <w:rsid w:val="00CA6CFD"/>
    <w:rsid w:val="00CB1B9F"/>
    <w:rsid w:val="00CB4AB9"/>
    <w:rsid w:val="00CC0C3A"/>
    <w:rsid w:val="00CC6503"/>
    <w:rsid w:val="00CC7A66"/>
    <w:rsid w:val="00CD2033"/>
    <w:rsid w:val="00CD6E49"/>
    <w:rsid w:val="00CE0A3A"/>
    <w:rsid w:val="00CE14FD"/>
    <w:rsid w:val="00CE1692"/>
    <w:rsid w:val="00CE2024"/>
    <w:rsid w:val="00CE36CB"/>
    <w:rsid w:val="00CE3D8E"/>
    <w:rsid w:val="00CE551F"/>
    <w:rsid w:val="00CE79FF"/>
    <w:rsid w:val="00CF09B7"/>
    <w:rsid w:val="00CF371B"/>
    <w:rsid w:val="00CF3C14"/>
    <w:rsid w:val="00D073B2"/>
    <w:rsid w:val="00D102D5"/>
    <w:rsid w:val="00D11719"/>
    <w:rsid w:val="00D11CDD"/>
    <w:rsid w:val="00D2191A"/>
    <w:rsid w:val="00D22A1B"/>
    <w:rsid w:val="00D22D72"/>
    <w:rsid w:val="00D23907"/>
    <w:rsid w:val="00D23D11"/>
    <w:rsid w:val="00D25162"/>
    <w:rsid w:val="00D26861"/>
    <w:rsid w:val="00D309C5"/>
    <w:rsid w:val="00D329ED"/>
    <w:rsid w:val="00D353EB"/>
    <w:rsid w:val="00D369ED"/>
    <w:rsid w:val="00D4364F"/>
    <w:rsid w:val="00D45149"/>
    <w:rsid w:val="00D46F54"/>
    <w:rsid w:val="00D527DD"/>
    <w:rsid w:val="00D54163"/>
    <w:rsid w:val="00D55555"/>
    <w:rsid w:val="00D557D6"/>
    <w:rsid w:val="00D5731B"/>
    <w:rsid w:val="00D63105"/>
    <w:rsid w:val="00D66451"/>
    <w:rsid w:val="00D67D1A"/>
    <w:rsid w:val="00D83FD1"/>
    <w:rsid w:val="00D846EA"/>
    <w:rsid w:val="00D90660"/>
    <w:rsid w:val="00D923D5"/>
    <w:rsid w:val="00D926F2"/>
    <w:rsid w:val="00D92F46"/>
    <w:rsid w:val="00D94F4E"/>
    <w:rsid w:val="00D961A3"/>
    <w:rsid w:val="00D965C1"/>
    <w:rsid w:val="00D96E78"/>
    <w:rsid w:val="00DA0C52"/>
    <w:rsid w:val="00DA16F2"/>
    <w:rsid w:val="00DA1DB5"/>
    <w:rsid w:val="00DA3AF1"/>
    <w:rsid w:val="00DA5F23"/>
    <w:rsid w:val="00DA75BA"/>
    <w:rsid w:val="00DB27BE"/>
    <w:rsid w:val="00DB6DCA"/>
    <w:rsid w:val="00DB70C4"/>
    <w:rsid w:val="00DB757B"/>
    <w:rsid w:val="00DC4442"/>
    <w:rsid w:val="00DD3E07"/>
    <w:rsid w:val="00DD3EA7"/>
    <w:rsid w:val="00DD4120"/>
    <w:rsid w:val="00DD6B77"/>
    <w:rsid w:val="00DD758E"/>
    <w:rsid w:val="00DE0AF8"/>
    <w:rsid w:val="00DE1BA8"/>
    <w:rsid w:val="00DE342E"/>
    <w:rsid w:val="00DE5028"/>
    <w:rsid w:val="00DE7D07"/>
    <w:rsid w:val="00DF1EE4"/>
    <w:rsid w:val="00DF4E20"/>
    <w:rsid w:val="00DF5719"/>
    <w:rsid w:val="00DF62C6"/>
    <w:rsid w:val="00DF71D7"/>
    <w:rsid w:val="00E01079"/>
    <w:rsid w:val="00E01892"/>
    <w:rsid w:val="00E057DC"/>
    <w:rsid w:val="00E10782"/>
    <w:rsid w:val="00E10875"/>
    <w:rsid w:val="00E15613"/>
    <w:rsid w:val="00E15628"/>
    <w:rsid w:val="00E15DB8"/>
    <w:rsid w:val="00E219B4"/>
    <w:rsid w:val="00E22703"/>
    <w:rsid w:val="00E27F6B"/>
    <w:rsid w:val="00E33BC3"/>
    <w:rsid w:val="00E40F29"/>
    <w:rsid w:val="00E426B5"/>
    <w:rsid w:val="00E440ED"/>
    <w:rsid w:val="00E51F9B"/>
    <w:rsid w:val="00E5204A"/>
    <w:rsid w:val="00E52E2D"/>
    <w:rsid w:val="00E57F60"/>
    <w:rsid w:val="00E65DE1"/>
    <w:rsid w:val="00E65F63"/>
    <w:rsid w:val="00E6796D"/>
    <w:rsid w:val="00E71EEC"/>
    <w:rsid w:val="00E7785A"/>
    <w:rsid w:val="00E8103A"/>
    <w:rsid w:val="00E84625"/>
    <w:rsid w:val="00E86F9F"/>
    <w:rsid w:val="00E87115"/>
    <w:rsid w:val="00E902E0"/>
    <w:rsid w:val="00E927E0"/>
    <w:rsid w:val="00E947D8"/>
    <w:rsid w:val="00E96524"/>
    <w:rsid w:val="00EA12B7"/>
    <w:rsid w:val="00EA1A90"/>
    <w:rsid w:val="00EA1BD1"/>
    <w:rsid w:val="00EA3147"/>
    <w:rsid w:val="00EB05AB"/>
    <w:rsid w:val="00EB4B6F"/>
    <w:rsid w:val="00EB79CA"/>
    <w:rsid w:val="00EC075F"/>
    <w:rsid w:val="00EC492C"/>
    <w:rsid w:val="00EC4A67"/>
    <w:rsid w:val="00EC6EB1"/>
    <w:rsid w:val="00EC723D"/>
    <w:rsid w:val="00ED5DA3"/>
    <w:rsid w:val="00ED6032"/>
    <w:rsid w:val="00EE5DA6"/>
    <w:rsid w:val="00EE75CF"/>
    <w:rsid w:val="00EF5213"/>
    <w:rsid w:val="00EF6673"/>
    <w:rsid w:val="00EF7319"/>
    <w:rsid w:val="00EF7D48"/>
    <w:rsid w:val="00F0139B"/>
    <w:rsid w:val="00F01BC4"/>
    <w:rsid w:val="00F03726"/>
    <w:rsid w:val="00F05D13"/>
    <w:rsid w:val="00F06723"/>
    <w:rsid w:val="00F10CB1"/>
    <w:rsid w:val="00F1327C"/>
    <w:rsid w:val="00F15E57"/>
    <w:rsid w:val="00F17A76"/>
    <w:rsid w:val="00F20DB2"/>
    <w:rsid w:val="00F23EA4"/>
    <w:rsid w:val="00F23F3C"/>
    <w:rsid w:val="00F26E2F"/>
    <w:rsid w:val="00F33DD0"/>
    <w:rsid w:val="00F34CC0"/>
    <w:rsid w:val="00F363ED"/>
    <w:rsid w:val="00F442C3"/>
    <w:rsid w:val="00F4531A"/>
    <w:rsid w:val="00F4618A"/>
    <w:rsid w:val="00F508EE"/>
    <w:rsid w:val="00F51501"/>
    <w:rsid w:val="00F54116"/>
    <w:rsid w:val="00F5684E"/>
    <w:rsid w:val="00F60F21"/>
    <w:rsid w:val="00F63BC9"/>
    <w:rsid w:val="00F66A0D"/>
    <w:rsid w:val="00F7063D"/>
    <w:rsid w:val="00F70E76"/>
    <w:rsid w:val="00F74F0C"/>
    <w:rsid w:val="00F77B48"/>
    <w:rsid w:val="00F82C5D"/>
    <w:rsid w:val="00F82FF8"/>
    <w:rsid w:val="00F837DC"/>
    <w:rsid w:val="00F85BB0"/>
    <w:rsid w:val="00F85D5A"/>
    <w:rsid w:val="00F91601"/>
    <w:rsid w:val="00F9200D"/>
    <w:rsid w:val="00F94276"/>
    <w:rsid w:val="00F97BD5"/>
    <w:rsid w:val="00FA0C67"/>
    <w:rsid w:val="00FB01B8"/>
    <w:rsid w:val="00FB122D"/>
    <w:rsid w:val="00FB25AD"/>
    <w:rsid w:val="00FB2A0B"/>
    <w:rsid w:val="00FB2B46"/>
    <w:rsid w:val="00FB66AA"/>
    <w:rsid w:val="00FC6477"/>
    <w:rsid w:val="00FD0049"/>
    <w:rsid w:val="00FD1014"/>
    <w:rsid w:val="00FD1E7F"/>
    <w:rsid w:val="00FD4741"/>
    <w:rsid w:val="00FD5477"/>
    <w:rsid w:val="00FD5E30"/>
    <w:rsid w:val="00FE18DD"/>
    <w:rsid w:val="00FE3CAA"/>
    <w:rsid w:val="00FE60E5"/>
    <w:rsid w:val="00FE6AB3"/>
    <w:rsid w:val="00FE7550"/>
    <w:rsid w:val="00FF2356"/>
    <w:rsid w:val="00FF3858"/>
    <w:rsid w:val="00FF5616"/>
    <w:rsid w:val="00FF6085"/>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A71399"/>
  <w15:chartTrackingRefBased/>
  <w15:docId w15:val="{2F73207A-612F-4613-BE2A-E628069A8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B041D6"/>
    <w:pPr>
      <w:keepNext/>
      <w:keepLines/>
      <w:spacing w:before="240" w:after="0"/>
      <w:outlineLvl w:val="0"/>
    </w:pPr>
    <w:rPr>
      <w:rFonts w:ascii="Calibri" w:eastAsiaTheme="majorEastAsia" w:hAnsi="Calibri" w:cstheme="majorBidi"/>
      <w:b/>
      <w:sz w:val="24"/>
      <w:szCs w:val="32"/>
    </w:rPr>
  </w:style>
  <w:style w:type="paragraph" w:styleId="Ttulo2">
    <w:name w:val="heading 2"/>
    <w:basedOn w:val="Normal"/>
    <w:next w:val="Normal"/>
    <w:link w:val="Ttulo2Car"/>
    <w:uiPriority w:val="9"/>
    <w:unhideWhenUsed/>
    <w:qFormat/>
    <w:rsid w:val="00C51A97"/>
    <w:pPr>
      <w:keepNext/>
      <w:keepLines/>
      <w:spacing w:before="40" w:after="0"/>
      <w:outlineLvl w:val="1"/>
    </w:pPr>
    <w:rPr>
      <w:rFonts w:ascii="Calibri" w:eastAsiaTheme="majorEastAsia" w:hAnsi="Calibri" w:cstheme="majorBidi"/>
      <w:b/>
      <w:sz w:val="24"/>
      <w:szCs w:val="26"/>
      <w:lang w:val="es-CO"/>
      <w14:ligatures w14:val="none"/>
    </w:rPr>
  </w:style>
  <w:style w:type="paragraph" w:styleId="Ttulo3">
    <w:name w:val="heading 3"/>
    <w:basedOn w:val="Normal"/>
    <w:next w:val="Normal"/>
    <w:link w:val="Ttulo3Car"/>
    <w:uiPriority w:val="9"/>
    <w:unhideWhenUsed/>
    <w:qFormat/>
    <w:rsid w:val="007356D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Ttulo3"/>
    <w:next w:val="Normal"/>
    <w:link w:val="Ttulo4Car"/>
    <w:uiPriority w:val="9"/>
    <w:qFormat/>
    <w:rsid w:val="009305C5"/>
    <w:pPr>
      <w:tabs>
        <w:tab w:val="num" w:pos="567"/>
      </w:tabs>
      <w:spacing w:after="120" w:line="240" w:lineRule="auto"/>
      <w:ind w:left="567" w:hanging="567"/>
      <w:outlineLvl w:val="3"/>
    </w:pPr>
    <w:rPr>
      <w:rFonts w:ascii="Times New Roman" w:hAnsi="Times New Roman"/>
      <w:b/>
      <w:iCs/>
      <w:color w:val="auto"/>
      <w14:ligatures w14:val="none"/>
    </w:rPr>
  </w:style>
  <w:style w:type="paragraph" w:styleId="Ttulo5">
    <w:name w:val="heading 5"/>
    <w:basedOn w:val="Normal"/>
    <w:next w:val="Normal"/>
    <w:link w:val="Ttulo5Car"/>
    <w:uiPriority w:val="9"/>
    <w:unhideWhenUsed/>
    <w:qFormat/>
    <w:rsid w:val="00464146"/>
    <w:pPr>
      <w:keepNext/>
      <w:keepLines/>
      <w:spacing w:before="40" w:after="0"/>
      <w:outlineLvl w:val="4"/>
    </w:pPr>
    <w:rPr>
      <w:rFonts w:asciiTheme="majorHAnsi" w:eastAsiaTheme="majorEastAsia" w:hAnsiTheme="majorHAnsi" w:cstheme="majorBidi"/>
      <w:color w:val="2F5496" w:themeColor="accent1" w:themeShade="BF"/>
      <w:sz w:val="24"/>
      <w:szCs w:val="24"/>
      <w:lang w:val="es-CO"/>
      <w14:ligatures w14:val="none"/>
    </w:rPr>
  </w:style>
  <w:style w:type="paragraph" w:styleId="Ttulo6">
    <w:name w:val="heading 6"/>
    <w:basedOn w:val="Normal"/>
    <w:next w:val="Normal"/>
    <w:link w:val="Ttulo6Car"/>
    <w:uiPriority w:val="9"/>
    <w:semiHidden/>
    <w:unhideWhenUsed/>
    <w:qFormat/>
    <w:rsid w:val="000D3931"/>
    <w:pPr>
      <w:keepNext/>
      <w:keepLines/>
      <w:spacing w:before="40" w:after="0"/>
      <w:ind w:left="1152" w:hanging="1152"/>
      <w:outlineLvl w:val="5"/>
    </w:pPr>
    <w:rPr>
      <w:rFonts w:asciiTheme="majorHAnsi" w:eastAsiaTheme="majorEastAsia" w:hAnsiTheme="majorHAnsi" w:cstheme="majorBidi"/>
      <w:color w:val="1F3763" w:themeColor="accent1" w:themeShade="7F"/>
      <w:lang w:val="es-CO"/>
      <w14:ligatures w14:val="none"/>
    </w:rPr>
  </w:style>
  <w:style w:type="paragraph" w:styleId="Ttulo7">
    <w:name w:val="heading 7"/>
    <w:basedOn w:val="Normal"/>
    <w:next w:val="Normal"/>
    <w:link w:val="Ttulo7Car"/>
    <w:uiPriority w:val="9"/>
    <w:semiHidden/>
    <w:unhideWhenUsed/>
    <w:qFormat/>
    <w:rsid w:val="000D3931"/>
    <w:pPr>
      <w:keepNext/>
      <w:keepLines/>
      <w:spacing w:before="40" w:after="0"/>
      <w:ind w:left="1296" w:hanging="1296"/>
      <w:outlineLvl w:val="6"/>
    </w:pPr>
    <w:rPr>
      <w:rFonts w:asciiTheme="majorHAnsi" w:eastAsiaTheme="majorEastAsia" w:hAnsiTheme="majorHAnsi" w:cstheme="majorBidi"/>
      <w:i/>
      <w:iCs/>
      <w:color w:val="1F3763" w:themeColor="accent1" w:themeShade="7F"/>
      <w:lang w:val="es-CO"/>
      <w14:ligatures w14:val="none"/>
    </w:rPr>
  </w:style>
  <w:style w:type="paragraph" w:styleId="Ttulo8">
    <w:name w:val="heading 8"/>
    <w:basedOn w:val="Normal"/>
    <w:next w:val="Normal"/>
    <w:link w:val="Ttulo8Car"/>
    <w:uiPriority w:val="9"/>
    <w:semiHidden/>
    <w:unhideWhenUsed/>
    <w:qFormat/>
    <w:rsid w:val="000D3931"/>
    <w:pPr>
      <w:keepNext/>
      <w:keepLines/>
      <w:spacing w:before="40" w:after="0"/>
      <w:ind w:left="1440" w:hanging="1440"/>
      <w:outlineLvl w:val="7"/>
    </w:pPr>
    <w:rPr>
      <w:rFonts w:asciiTheme="majorHAnsi" w:eastAsiaTheme="majorEastAsia" w:hAnsiTheme="majorHAnsi" w:cstheme="majorBidi"/>
      <w:color w:val="272727" w:themeColor="text1" w:themeTint="D8"/>
      <w:sz w:val="21"/>
      <w:szCs w:val="21"/>
      <w:lang w:val="es-CO"/>
      <w14:ligatures w14:val="none"/>
    </w:rPr>
  </w:style>
  <w:style w:type="paragraph" w:styleId="Ttulo9">
    <w:name w:val="heading 9"/>
    <w:basedOn w:val="Normal"/>
    <w:next w:val="Normal"/>
    <w:link w:val="Ttulo9Car"/>
    <w:uiPriority w:val="9"/>
    <w:semiHidden/>
    <w:unhideWhenUsed/>
    <w:qFormat/>
    <w:rsid w:val="000D3931"/>
    <w:pPr>
      <w:keepNext/>
      <w:keepLines/>
      <w:spacing w:before="40" w:after="0"/>
      <w:ind w:left="1584" w:hanging="1584"/>
      <w:outlineLvl w:val="8"/>
    </w:pPr>
    <w:rPr>
      <w:rFonts w:asciiTheme="majorHAnsi" w:eastAsiaTheme="majorEastAsia" w:hAnsiTheme="majorHAnsi" w:cstheme="majorBidi"/>
      <w:i/>
      <w:iCs/>
      <w:color w:val="272727" w:themeColor="text1" w:themeTint="D8"/>
      <w:sz w:val="21"/>
      <w:szCs w:val="21"/>
      <w:lang w:val="es-CO"/>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124E25"/>
    <w:pPr>
      <w:spacing w:before="100" w:beforeAutospacing="1" w:after="100" w:afterAutospacing="1" w:line="240" w:lineRule="auto"/>
    </w:pPr>
    <w:rPr>
      <w:rFonts w:ascii="Times New Roman" w:eastAsia="Times New Roman" w:hAnsi="Times New Roman" w:cs="Times New Roman"/>
      <w:sz w:val="24"/>
      <w:szCs w:val="24"/>
      <w14:ligatures w14:val="none"/>
    </w:rPr>
  </w:style>
  <w:style w:type="paragraph" w:customStyle="1" w:styleId="ds-markdown-paragraph">
    <w:name w:val="ds-markdown-paragraph"/>
    <w:basedOn w:val="Normal"/>
    <w:rsid w:val="00924E14"/>
    <w:pPr>
      <w:spacing w:before="100" w:beforeAutospacing="1" w:after="100" w:afterAutospacing="1" w:line="240" w:lineRule="auto"/>
    </w:pPr>
    <w:rPr>
      <w:rFonts w:ascii="Times New Roman" w:eastAsia="Times New Roman" w:hAnsi="Times New Roman" w:cs="Times New Roman"/>
      <w:sz w:val="24"/>
      <w:szCs w:val="24"/>
      <w14:ligatures w14:val="none"/>
    </w:rPr>
  </w:style>
  <w:style w:type="paragraph" w:styleId="Bibliografa">
    <w:name w:val="Bibliography"/>
    <w:basedOn w:val="Normal"/>
    <w:next w:val="Normal"/>
    <w:uiPriority w:val="37"/>
    <w:unhideWhenUsed/>
    <w:rsid w:val="00435BC3"/>
    <w:pPr>
      <w:tabs>
        <w:tab w:val="left" w:pos="264"/>
      </w:tabs>
      <w:spacing w:after="240" w:line="240" w:lineRule="auto"/>
      <w:ind w:left="264" w:hanging="264"/>
    </w:pPr>
  </w:style>
  <w:style w:type="paragraph" w:styleId="Prrafodelista">
    <w:name w:val="List Paragraph"/>
    <w:basedOn w:val="Normal"/>
    <w:uiPriority w:val="34"/>
    <w:qFormat/>
    <w:rsid w:val="00A66482"/>
    <w:pPr>
      <w:ind w:left="720"/>
      <w:contextualSpacing/>
    </w:pPr>
  </w:style>
  <w:style w:type="table" w:styleId="Tablaconcuadrcula">
    <w:name w:val="Table Grid"/>
    <w:basedOn w:val="Tablanormal"/>
    <w:uiPriority w:val="39"/>
    <w:rsid w:val="004D06DD"/>
    <w:pPr>
      <w:spacing w:after="0" w:line="240" w:lineRule="auto"/>
    </w:pPr>
    <w:rPr>
      <w:rFonts w:eastAsiaTheme="minorEastAsi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5Car">
    <w:name w:val="Título 5 Car"/>
    <w:basedOn w:val="Fuentedeprrafopredeter"/>
    <w:link w:val="Ttulo5"/>
    <w:uiPriority w:val="9"/>
    <w:rsid w:val="00464146"/>
    <w:rPr>
      <w:rFonts w:asciiTheme="majorHAnsi" w:eastAsiaTheme="majorEastAsia" w:hAnsiTheme="majorHAnsi" w:cstheme="majorBidi"/>
      <w:color w:val="2F5496" w:themeColor="accent1" w:themeShade="BF"/>
      <w:sz w:val="24"/>
      <w:szCs w:val="24"/>
      <w:lang w:val="es-CO"/>
      <w14:ligatures w14:val="none"/>
    </w:rPr>
  </w:style>
  <w:style w:type="paragraph" w:styleId="Sinespaciado">
    <w:name w:val="No Spacing"/>
    <w:uiPriority w:val="1"/>
    <w:qFormat/>
    <w:rsid w:val="00464146"/>
    <w:pPr>
      <w:spacing w:after="0" w:line="240" w:lineRule="auto"/>
    </w:pPr>
    <w:rPr>
      <w:rFonts w:ascii="Arial" w:hAnsi="Arial" w:cs="Arial"/>
      <w:sz w:val="24"/>
      <w:szCs w:val="24"/>
      <w:lang w:val="es-CO"/>
      <w14:ligatures w14:val="none"/>
    </w:rPr>
  </w:style>
  <w:style w:type="paragraph" w:styleId="Descripcin">
    <w:name w:val="caption"/>
    <w:basedOn w:val="Normal"/>
    <w:next w:val="Normal"/>
    <w:uiPriority w:val="35"/>
    <w:unhideWhenUsed/>
    <w:qFormat/>
    <w:rsid w:val="00464146"/>
    <w:pPr>
      <w:spacing w:after="200" w:line="240" w:lineRule="auto"/>
    </w:pPr>
    <w:rPr>
      <w:rFonts w:ascii="Arial" w:hAnsi="Arial" w:cs="Arial"/>
      <w:i/>
      <w:iCs/>
      <w:color w:val="44546A" w:themeColor="text2"/>
      <w:sz w:val="18"/>
      <w:szCs w:val="18"/>
      <w:lang w:val="es-CO"/>
      <w14:ligatures w14:val="none"/>
    </w:rPr>
  </w:style>
  <w:style w:type="character" w:styleId="Textoennegrita">
    <w:name w:val="Strong"/>
    <w:basedOn w:val="Fuentedeprrafopredeter"/>
    <w:uiPriority w:val="22"/>
    <w:qFormat/>
    <w:rsid w:val="00464146"/>
    <w:rPr>
      <w:b/>
      <w:bCs/>
    </w:rPr>
  </w:style>
  <w:style w:type="character" w:styleId="Hipervnculo">
    <w:name w:val="Hyperlink"/>
    <w:basedOn w:val="Fuentedeprrafopredeter"/>
    <w:uiPriority w:val="99"/>
    <w:unhideWhenUsed/>
    <w:rsid w:val="00882BC4"/>
    <w:rPr>
      <w:color w:val="0563C1" w:themeColor="hyperlink"/>
      <w:u w:val="single"/>
    </w:rPr>
  </w:style>
  <w:style w:type="character" w:customStyle="1" w:styleId="UnresolvedMention">
    <w:name w:val="Unresolved Mention"/>
    <w:basedOn w:val="Fuentedeprrafopredeter"/>
    <w:uiPriority w:val="99"/>
    <w:semiHidden/>
    <w:unhideWhenUsed/>
    <w:rsid w:val="00882BC4"/>
    <w:rPr>
      <w:color w:val="605E5C"/>
      <w:shd w:val="clear" w:color="auto" w:fill="E1DFDD"/>
    </w:rPr>
  </w:style>
  <w:style w:type="character" w:customStyle="1" w:styleId="Ttulo2Car">
    <w:name w:val="Título 2 Car"/>
    <w:basedOn w:val="Fuentedeprrafopredeter"/>
    <w:link w:val="Ttulo2"/>
    <w:uiPriority w:val="9"/>
    <w:rsid w:val="00C51A97"/>
    <w:rPr>
      <w:rFonts w:ascii="Calibri" w:eastAsiaTheme="majorEastAsia" w:hAnsi="Calibri" w:cstheme="majorBidi"/>
      <w:b/>
      <w:sz w:val="24"/>
      <w:szCs w:val="26"/>
      <w:lang w:val="es-CO"/>
      <w14:ligatures w14:val="none"/>
    </w:rPr>
  </w:style>
  <w:style w:type="character" w:customStyle="1" w:styleId="Ttulo1Car">
    <w:name w:val="Título 1 Car"/>
    <w:basedOn w:val="Fuentedeprrafopredeter"/>
    <w:link w:val="Ttulo1"/>
    <w:uiPriority w:val="9"/>
    <w:rsid w:val="00B041D6"/>
    <w:rPr>
      <w:rFonts w:ascii="Calibri" w:eastAsiaTheme="majorEastAsia" w:hAnsi="Calibri" w:cstheme="majorBidi"/>
      <w:b/>
      <w:sz w:val="24"/>
      <w:szCs w:val="32"/>
    </w:rPr>
  </w:style>
  <w:style w:type="character" w:customStyle="1" w:styleId="Ttulo3Car">
    <w:name w:val="Título 3 Car"/>
    <w:basedOn w:val="Fuentedeprrafopredeter"/>
    <w:link w:val="Ttulo3"/>
    <w:uiPriority w:val="9"/>
    <w:rsid w:val="007356D9"/>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rsid w:val="009305C5"/>
    <w:rPr>
      <w:rFonts w:ascii="Times New Roman" w:eastAsiaTheme="majorEastAsia" w:hAnsi="Times New Roman" w:cstheme="majorBidi"/>
      <w:b/>
      <w:iCs/>
      <w:sz w:val="24"/>
      <w:szCs w:val="24"/>
      <w14:ligatures w14:val="none"/>
    </w:rPr>
  </w:style>
  <w:style w:type="character" w:styleId="nfasis">
    <w:name w:val="Emphasis"/>
    <w:basedOn w:val="Fuentedeprrafopredeter"/>
    <w:uiPriority w:val="20"/>
    <w:qFormat/>
    <w:rsid w:val="009305C5"/>
    <w:rPr>
      <w:rFonts w:ascii="Times New Roman" w:hAnsi="Times New Roman"/>
      <w:i/>
      <w:iCs/>
    </w:rPr>
  </w:style>
  <w:style w:type="paragraph" w:styleId="Encabezado">
    <w:name w:val="header"/>
    <w:basedOn w:val="Normal"/>
    <w:link w:val="EncabezadoCar"/>
    <w:uiPriority w:val="99"/>
    <w:unhideWhenUsed/>
    <w:rsid w:val="009305C5"/>
    <w:pPr>
      <w:tabs>
        <w:tab w:val="center" w:pos="4844"/>
        <w:tab w:val="right" w:pos="9689"/>
      </w:tabs>
      <w:spacing w:before="120" w:after="240" w:line="240" w:lineRule="auto"/>
    </w:pPr>
    <w:rPr>
      <w:rFonts w:ascii="Times New Roman" w:hAnsi="Times New Roman"/>
      <w:b/>
      <w:sz w:val="24"/>
      <w14:ligatures w14:val="none"/>
    </w:rPr>
  </w:style>
  <w:style w:type="character" w:customStyle="1" w:styleId="EncabezadoCar">
    <w:name w:val="Encabezado Car"/>
    <w:basedOn w:val="Fuentedeprrafopredeter"/>
    <w:link w:val="Encabezado"/>
    <w:uiPriority w:val="99"/>
    <w:rsid w:val="009305C5"/>
    <w:rPr>
      <w:rFonts w:ascii="Times New Roman" w:hAnsi="Times New Roman"/>
      <w:b/>
      <w:sz w:val="24"/>
      <w14:ligatures w14:val="none"/>
    </w:rPr>
  </w:style>
  <w:style w:type="paragraph" w:styleId="Piedepgina">
    <w:name w:val="footer"/>
    <w:basedOn w:val="Normal"/>
    <w:link w:val="PiedepginaCar"/>
    <w:uiPriority w:val="99"/>
    <w:unhideWhenUsed/>
    <w:rsid w:val="009305C5"/>
    <w:pPr>
      <w:tabs>
        <w:tab w:val="center" w:pos="4844"/>
        <w:tab w:val="right" w:pos="9689"/>
      </w:tabs>
      <w:spacing w:before="120" w:after="0" w:line="240" w:lineRule="auto"/>
    </w:pPr>
    <w:rPr>
      <w:rFonts w:ascii="Times New Roman" w:hAnsi="Times New Roman"/>
      <w:sz w:val="24"/>
      <w14:ligatures w14:val="none"/>
    </w:rPr>
  </w:style>
  <w:style w:type="character" w:customStyle="1" w:styleId="PiedepginaCar">
    <w:name w:val="Pie de página Car"/>
    <w:basedOn w:val="Fuentedeprrafopredeter"/>
    <w:link w:val="Piedepgina"/>
    <w:uiPriority w:val="99"/>
    <w:rsid w:val="009305C5"/>
    <w:rPr>
      <w:rFonts w:ascii="Times New Roman" w:hAnsi="Times New Roman"/>
      <w:sz w:val="24"/>
      <w14:ligatures w14:val="none"/>
    </w:rPr>
  </w:style>
  <w:style w:type="paragraph" w:styleId="Textonotapie">
    <w:name w:val="footnote text"/>
    <w:basedOn w:val="Normal"/>
    <w:link w:val="TextonotapieCar"/>
    <w:uiPriority w:val="99"/>
    <w:semiHidden/>
    <w:unhideWhenUsed/>
    <w:rsid w:val="009305C5"/>
    <w:pPr>
      <w:spacing w:before="120" w:after="0" w:line="240" w:lineRule="auto"/>
    </w:pPr>
    <w:rPr>
      <w:rFonts w:ascii="Times New Roman" w:hAnsi="Times New Roman"/>
      <w:sz w:val="20"/>
      <w:szCs w:val="20"/>
      <w14:ligatures w14:val="none"/>
    </w:rPr>
  </w:style>
  <w:style w:type="character" w:customStyle="1" w:styleId="TextonotapieCar">
    <w:name w:val="Texto nota pie Car"/>
    <w:basedOn w:val="Fuentedeprrafopredeter"/>
    <w:link w:val="Textonotapie"/>
    <w:uiPriority w:val="99"/>
    <w:semiHidden/>
    <w:rsid w:val="009305C5"/>
    <w:rPr>
      <w:rFonts w:ascii="Times New Roman" w:hAnsi="Times New Roman"/>
      <w:sz w:val="20"/>
      <w:szCs w:val="20"/>
      <w14:ligatures w14:val="none"/>
    </w:rPr>
  </w:style>
  <w:style w:type="character" w:styleId="Refdenotaalpie">
    <w:name w:val="footnote reference"/>
    <w:basedOn w:val="Fuentedeprrafopredeter"/>
    <w:uiPriority w:val="99"/>
    <w:semiHidden/>
    <w:unhideWhenUsed/>
    <w:rsid w:val="009305C5"/>
    <w:rPr>
      <w:vertAlign w:val="superscript"/>
    </w:rPr>
  </w:style>
  <w:style w:type="paragraph" w:styleId="Textodeglobo">
    <w:name w:val="Balloon Text"/>
    <w:basedOn w:val="Normal"/>
    <w:link w:val="TextodegloboCar"/>
    <w:uiPriority w:val="99"/>
    <w:semiHidden/>
    <w:unhideWhenUsed/>
    <w:rsid w:val="009305C5"/>
    <w:pPr>
      <w:spacing w:before="120" w:after="0" w:line="240" w:lineRule="auto"/>
    </w:pPr>
    <w:rPr>
      <w:rFonts w:ascii="Tahoma" w:hAnsi="Tahoma" w:cs="Tahoma"/>
      <w:sz w:val="16"/>
      <w:szCs w:val="16"/>
      <w14:ligatures w14:val="none"/>
    </w:rPr>
  </w:style>
  <w:style w:type="character" w:customStyle="1" w:styleId="TextodegloboCar">
    <w:name w:val="Texto de globo Car"/>
    <w:basedOn w:val="Fuentedeprrafopredeter"/>
    <w:link w:val="Textodeglobo"/>
    <w:uiPriority w:val="99"/>
    <w:semiHidden/>
    <w:rsid w:val="009305C5"/>
    <w:rPr>
      <w:rFonts w:ascii="Tahoma" w:hAnsi="Tahoma" w:cs="Tahoma"/>
      <w:sz w:val="16"/>
      <w:szCs w:val="16"/>
      <w14:ligatures w14:val="none"/>
    </w:rPr>
  </w:style>
  <w:style w:type="character" w:styleId="Nmerodelnea">
    <w:name w:val="line number"/>
    <w:basedOn w:val="Fuentedeprrafopredeter"/>
    <w:uiPriority w:val="99"/>
    <w:semiHidden/>
    <w:unhideWhenUsed/>
    <w:rsid w:val="009305C5"/>
  </w:style>
  <w:style w:type="paragraph" w:styleId="Textonotaalfinal">
    <w:name w:val="endnote text"/>
    <w:basedOn w:val="Normal"/>
    <w:link w:val="TextonotaalfinalCar"/>
    <w:uiPriority w:val="99"/>
    <w:semiHidden/>
    <w:unhideWhenUsed/>
    <w:rsid w:val="009305C5"/>
    <w:pPr>
      <w:spacing w:before="120" w:after="0" w:line="240" w:lineRule="auto"/>
    </w:pPr>
    <w:rPr>
      <w:rFonts w:ascii="Times New Roman" w:hAnsi="Times New Roman"/>
      <w:sz w:val="20"/>
      <w:szCs w:val="20"/>
      <w14:ligatures w14:val="none"/>
    </w:rPr>
  </w:style>
  <w:style w:type="character" w:customStyle="1" w:styleId="TextonotaalfinalCar">
    <w:name w:val="Texto nota al final Car"/>
    <w:basedOn w:val="Fuentedeprrafopredeter"/>
    <w:link w:val="Textonotaalfinal"/>
    <w:uiPriority w:val="99"/>
    <w:semiHidden/>
    <w:rsid w:val="009305C5"/>
    <w:rPr>
      <w:rFonts w:ascii="Times New Roman" w:hAnsi="Times New Roman"/>
      <w:sz w:val="20"/>
      <w:szCs w:val="20"/>
      <w14:ligatures w14:val="none"/>
    </w:rPr>
  </w:style>
  <w:style w:type="character" w:styleId="Refdenotaalfinal">
    <w:name w:val="endnote reference"/>
    <w:basedOn w:val="Fuentedeprrafopredeter"/>
    <w:uiPriority w:val="99"/>
    <w:semiHidden/>
    <w:unhideWhenUsed/>
    <w:rsid w:val="009305C5"/>
    <w:rPr>
      <w:vertAlign w:val="superscript"/>
    </w:rPr>
  </w:style>
  <w:style w:type="character" w:styleId="Refdecomentario">
    <w:name w:val="annotation reference"/>
    <w:basedOn w:val="Fuentedeprrafopredeter"/>
    <w:uiPriority w:val="99"/>
    <w:semiHidden/>
    <w:unhideWhenUsed/>
    <w:rsid w:val="009305C5"/>
    <w:rPr>
      <w:sz w:val="16"/>
      <w:szCs w:val="16"/>
    </w:rPr>
  </w:style>
  <w:style w:type="paragraph" w:styleId="Textocomentario">
    <w:name w:val="annotation text"/>
    <w:basedOn w:val="Normal"/>
    <w:link w:val="TextocomentarioCar"/>
    <w:uiPriority w:val="99"/>
    <w:semiHidden/>
    <w:unhideWhenUsed/>
    <w:rsid w:val="009305C5"/>
    <w:pPr>
      <w:spacing w:before="120" w:after="240" w:line="240" w:lineRule="auto"/>
    </w:pPr>
    <w:rPr>
      <w:rFonts w:ascii="Times New Roman" w:hAnsi="Times New Roman"/>
      <w:sz w:val="20"/>
      <w:szCs w:val="20"/>
      <w14:ligatures w14:val="none"/>
    </w:rPr>
  </w:style>
  <w:style w:type="character" w:customStyle="1" w:styleId="TextocomentarioCar">
    <w:name w:val="Texto comentario Car"/>
    <w:basedOn w:val="Fuentedeprrafopredeter"/>
    <w:link w:val="Textocomentario"/>
    <w:uiPriority w:val="99"/>
    <w:semiHidden/>
    <w:rsid w:val="009305C5"/>
    <w:rPr>
      <w:rFonts w:ascii="Times New Roman" w:hAnsi="Times New Roman"/>
      <w:sz w:val="20"/>
      <w:szCs w:val="20"/>
      <w14:ligatures w14:val="none"/>
    </w:rPr>
  </w:style>
  <w:style w:type="paragraph" w:styleId="Asuntodelcomentario">
    <w:name w:val="annotation subject"/>
    <w:basedOn w:val="Textocomentario"/>
    <w:next w:val="Textocomentario"/>
    <w:link w:val="AsuntodelcomentarioCar"/>
    <w:uiPriority w:val="99"/>
    <w:semiHidden/>
    <w:unhideWhenUsed/>
    <w:rsid w:val="009305C5"/>
    <w:rPr>
      <w:b/>
      <w:bCs/>
    </w:rPr>
  </w:style>
  <w:style w:type="character" w:customStyle="1" w:styleId="AsuntodelcomentarioCar">
    <w:name w:val="Asunto del comentario Car"/>
    <w:basedOn w:val="TextocomentarioCar"/>
    <w:link w:val="Asuntodelcomentario"/>
    <w:uiPriority w:val="99"/>
    <w:semiHidden/>
    <w:rsid w:val="009305C5"/>
    <w:rPr>
      <w:rFonts w:ascii="Times New Roman" w:hAnsi="Times New Roman"/>
      <w:b/>
      <w:bCs/>
      <w:sz w:val="20"/>
      <w:szCs w:val="20"/>
      <w14:ligatures w14:val="none"/>
    </w:rPr>
  </w:style>
  <w:style w:type="character" w:styleId="Hipervnculovisitado">
    <w:name w:val="FollowedHyperlink"/>
    <w:basedOn w:val="Fuentedeprrafopredeter"/>
    <w:uiPriority w:val="99"/>
    <w:semiHidden/>
    <w:unhideWhenUsed/>
    <w:rsid w:val="009305C5"/>
    <w:rPr>
      <w:color w:val="954F72" w:themeColor="followedHyperlink"/>
      <w:u w:val="single"/>
    </w:rPr>
  </w:style>
  <w:style w:type="paragraph" w:styleId="Ttulo">
    <w:name w:val="Title"/>
    <w:basedOn w:val="Normal"/>
    <w:next w:val="Normal"/>
    <w:link w:val="TtuloCar"/>
    <w:uiPriority w:val="10"/>
    <w:qFormat/>
    <w:rsid w:val="00DF71D7"/>
    <w:pPr>
      <w:suppressLineNumbers/>
      <w:spacing w:before="240" w:after="360" w:line="240" w:lineRule="auto"/>
      <w:jc w:val="center"/>
    </w:pPr>
    <w:rPr>
      <w:rFonts w:ascii="Calibri" w:hAnsi="Calibri" w:cs="Times New Roman"/>
      <w:b/>
      <w:sz w:val="28"/>
      <w:szCs w:val="32"/>
      <w14:ligatures w14:val="none"/>
    </w:rPr>
  </w:style>
  <w:style w:type="character" w:customStyle="1" w:styleId="TtuloCar">
    <w:name w:val="Título Car"/>
    <w:basedOn w:val="Fuentedeprrafopredeter"/>
    <w:link w:val="Ttulo"/>
    <w:uiPriority w:val="10"/>
    <w:rsid w:val="00DF71D7"/>
    <w:rPr>
      <w:rFonts w:ascii="Calibri" w:hAnsi="Calibri" w:cs="Times New Roman"/>
      <w:b/>
      <w:sz w:val="28"/>
      <w:szCs w:val="32"/>
      <w14:ligatures w14:val="none"/>
    </w:rPr>
  </w:style>
  <w:style w:type="paragraph" w:styleId="Subttulo">
    <w:name w:val="Subtitle"/>
    <w:basedOn w:val="Normal"/>
    <w:next w:val="Normal"/>
    <w:link w:val="SubttuloCar"/>
    <w:uiPriority w:val="99"/>
    <w:unhideWhenUsed/>
    <w:qFormat/>
    <w:rsid w:val="009305C5"/>
    <w:pPr>
      <w:spacing w:before="240" w:after="240" w:line="240" w:lineRule="auto"/>
    </w:pPr>
    <w:rPr>
      <w:rFonts w:ascii="Times New Roman" w:hAnsi="Times New Roman" w:cs="Times New Roman"/>
      <w:b/>
      <w:sz w:val="24"/>
      <w:szCs w:val="24"/>
      <w14:ligatures w14:val="none"/>
    </w:rPr>
  </w:style>
  <w:style w:type="character" w:customStyle="1" w:styleId="SubttuloCar">
    <w:name w:val="Subtítulo Car"/>
    <w:basedOn w:val="Fuentedeprrafopredeter"/>
    <w:link w:val="Subttulo"/>
    <w:uiPriority w:val="99"/>
    <w:rsid w:val="009305C5"/>
    <w:rPr>
      <w:rFonts w:ascii="Times New Roman" w:hAnsi="Times New Roman" w:cs="Times New Roman"/>
      <w:b/>
      <w:sz w:val="24"/>
      <w:szCs w:val="24"/>
      <w14:ligatures w14:val="none"/>
    </w:rPr>
  </w:style>
  <w:style w:type="paragraph" w:customStyle="1" w:styleId="AuthorList">
    <w:name w:val="Author List"/>
    <w:aliases w:val="Keywords,Abstract"/>
    <w:basedOn w:val="Subttulo"/>
    <w:next w:val="Normal"/>
    <w:uiPriority w:val="1"/>
    <w:qFormat/>
    <w:rsid w:val="009305C5"/>
  </w:style>
  <w:style w:type="character" w:styleId="nfasissutil">
    <w:name w:val="Subtle Emphasis"/>
    <w:basedOn w:val="Fuentedeprrafopredeter"/>
    <w:uiPriority w:val="19"/>
    <w:qFormat/>
    <w:rsid w:val="009305C5"/>
    <w:rPr>
      <w:rFonts w:ascii="Times New Roman" w:hAnsi="Times New Roman"/>
      <w:i/>
      <w:iCs/>
      <w:color w:val="404040" w:themeColor="text1" w:themeTint="BF"/>
    </w:rPr>
  </w:style>
  <w:style w:type="character" w:styleId="nfasisintenso">
    <w:name w:val="Intense Emphasis"/>
    <w:basedOn w:val="Fuentedeprrafopredeter"/>
    <w:uiPriority w:val="21"/>
    <w:unhideWhenUsed/>
    <w:rsid w:val="009305C5"/>
    <w:rPr>
      <w:rFonts w:ascii="Times New Roman" w:hAnsi="Times New Roman"/>
      <w:i/>
      <w:iCs/>
      <w:color w:val="auto"/>
    </w:rPr>
  </w:style>
  <w:style w:type="paragraph" w:styleId="Cita">
    <w:name w:val="Quote"/>
    <w:basedOn w:val="Normal"/>
    <w:next w:val="Normal"/>
    <w:link w:val="CitaCar"/>
    <w:uiPriority w:val="29"/>
    <w:qFormat/>
    <w:rsid w:val="009305C5"/>
    <w:pPr>
      <w:spacing w:before="200" w:line="240" w:lineRule="auto"/>
      <w:ind w:left="864" w:right="864"/>
      <w:jc w:val="center"/>
    </w:pPr>
    <w:rPr>
      <w:rFonts w:ascii="Times New Roman" w:hAnsi="Times New Roman"/>
      <w:i/>
      <w:iCs/>
      <w:color w:val="404040" w:themeColor="text1" w:themeTint="BF"/>
      <w:sz w:val="24"/>
      <w14:ligatures w14:val="none"/>
    </w:rPr>
  </w:style>
  <w:style w:type="character" w:customStyle="1" w:styleId="CitaCar">
    <w:name w:val="Cita Car"/>
    <w:basedOn w:val="Fuentedeprrafopredeter"/>
    <w:link w:val="Cita"/>
    <w:uiPriority w:val="29"/>
    <w:rsid w:val="009305C5"/>
    <w:rPr>
      <w:rFonts w:ascii="Times New Roman" w:hAnsi="Times New Roman"/>
      <w:i/>
      <w:iCs/>
      <w:color w:val="404040" w:themeColor="text1" w:themeTint="BF"/>
      <w:sz w:val="24"/>
      <w14:ligatures w14:val="none"/>
    </w:rPr>
  </w:style>
  <w:style w:type="character" w:styleId="Referenciaintensa">
    <w:name w:val="Intense Reference"/>
    <w:basedOn w:val="Fuentedeprrafopredeter"/>
    <w:uiPriority w:val="32"/>
    <w:qFormat/>
    <w:rsid w:val="009305C5"/>
    <w:rPr>
      <w:b/>
      <w:bCs/>
      <w:smallCaps/>
      <w:color w:val="auto"/>
      <w:spacing w:val="5"/>
    </w:rPr>
  </w:style>
  <w:style w:type="character" w:styleId="Ttulodellibro">
    <w:name w:val="Book Title"/>
    <w:basedOn w:val="Fuentedeprrafopredeter"/>
    <w:uiPriority w:val="33"/>
    <w:qFormat/>
    <w:rsid w:val="009305C5"/>
    <w:rPr>
      <w:rFonts w:ascii="Times New Roman" w:hAnsi="Times New Roman"/>
      <w:b/>
      <w:bCs/>
      <w:i/>
      <w:iCs/>
      <w:spacing w:val="5"/>
    </w:rPr>
  </w:style>
  <w:style w:type="numbering" w:customStyle="1" w:styleId="Headings">
    <w:name w:val="Headings"/>
    <w:uiPriority w:val="99"/>
    <w:rsid w:val="009305C5"/>
    <w:pPr>
      <w:numPr>
        <w:numId w:val="1"/>
      </w:numPr>
    </w:pPr>
  </w:style>
  <w:style w:type="paragraph" w:styleId="Revisin">
    <w:name w:val="Revision"/>
    <w:hidden/>
    <w:uiPriority w:val="99"/>
    <w:semiHidden/>
    <w:rsid w:val="009305C5"/>
    <w:pPr>
      <w:spacing w:after="0" w:line="240" w:lineRule="auto"/>
    </w:pPr>
    <w:rPr>
      <w:rFonts w:ascii="Times New Roman" w:hAnsi="Times New Roman"/>
      <w:sz w:val="24"/>
      <w14:ligatures w14:val="none"/>
    </w:rPr>
  </w:style>
  <w:style w:type="character" w:customStyle="1" w:styleId="normaltextrun">
    <w:name w:val="normaltextrun"/>
    <w:basedOn w:val="Fuentedeprrafopredeter"/>
    <w:rsid w:val="009305C5"/>
  </w:style>
  <w:style w:type="character" w:customStyle="1" w:styleId="eop">
    <w:name w:val="eop"/>
    <w:basedOn w:val="Fuentedeprrafopredeter"/>
    <w:rsid w:val="009305C5"/>
  </w:style>
  <w:style w:type="paragraph" w:customStyle="1" w:styleId="paragraph">
    <w:name w:val="paragraph"/>
    <w:basedOn w:val="Normal"/>
    <w:rsid w:val="009305C5"/>
    <w:pPr>
      <w:spacing w:before="100" w:beforeAutospacing="1" w:after="100" w:afterAutospacing="1" w:line="240" w:lineRule="auto"/>
    </w:pPr>
    <w:rPr>
      <w:rFonts w:ascii="Times New Roman" w:eastAsia="Times New Roman" w:hAnsi="Times New Roman" w:cs="Times New Roman"/>
      <w:sz w:val="24"/>
      <w:szCs w:val="24"/>
      <w:lang w:val="es-CO" w:eastAsia="es-CO"/>
      <w14:ligatures w14:val="none"/>
    </w:rPr>
  </w:style>
  <w:style w:type="character" w:styleId="Textodelmarcadordeposicin">
    <w:name w:val="Placeholder Text"/>
    <w:basedOn w:val="Fuentedeprrafopredeter"/>
    <w:uiPriority w:val="99"/>
    <w:semiHidden/>
    <w:rsid w:val="009305C5"/>
    <w:rPr>
      <w:color w:val="808080"/>
    </w:rPr>
  </w:style>
  <w:style w:type="table" w:styleId="Tabladelista3-nfasis4">
    <w:name w:val="List Table 3 Accent 4"/>
    <w:basedOn w:val="Tablanormal"/>
    <w:uiPriority w:val="48"/>
    <w:rsid w:val="005B5C75"/>
    <w:pPr>
      <w:spacing w:after="0" w:line="240" w:lineRule="auto"/>
    </w:pPr>
    <w:rPr>
      <w:kern w:val="2"/>
      <w:lang w:val="es-CO"/>
    </w:rPr>
    <w:tblPr>
      <w:tblStyleRowBandSize w:val="1"/>
      <w:tblStyleColBandSize w:val="1"/>
      <w:tblBorders>
        <w:top w:val="single" w:sz="4" w:space="0" w:color="FFC000" w:themeColor="accent4"/>
        <w:left w:val="single" w:sz="4" w:space="0" w:color="FFC000" w:themeColor="accent4"/>
        <w:bottom w:val="single" w:sz="4" w:space="0" w:color="FFC000" w:themeColor="accent4"/>
        <w:right w:val="single" w:sz="4" w:space="0" w:color="FFC000" w:themeColor="accent4"/>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paragraph" w:customStyle="1" w:styleId="Estilo1">
    <w:name w:val="Estilo1"/>
    <w:basedOn w:val="Normal"/>
    <w:link w:val="Estilo1Car"/>
    <w:qFormat/>
    <w:rsid w:val="00DF71D7"/>
    <w:rPr>
      <w:rFonts w:cstheme="minorHAnsi"/>
      <w:sz w:val="28"/>
      <w:szCs w:val="24"/>
      <w:lang w:val="es-CO"/>
    </w:rPr>
  </w:style>
  <w:style w:type="paragraph" w:styleId="TtuloTDC">
    <w:name w:val="TOC Heading"/>
    <w:basedOn w:val="Ttulo1"/>
    <w:next w:val="Normal"/>
    <w:uiPriority w:val="39"/>
    <w:unhideWhenUsed/>
    <w:qFormat/>
    <w:rsid w:val="00635A7C"/>
    <w:pPr>
      <w:outlineLvl w:val="9"/>
    </w:pPr>
    <w:rPr>
      <w:rFonts w:asciiTheme="majorHAnsi" w:hAnsiTheme="majorHAnsi"/>
      <w:b w:val="0"/>
      <w:color w:val="2F5496" w:themeColor="accent1" w:themeShade="BF"/>
      <w:sz w:val="32"/>
      <w14:ligatures w14:val="none"/>
    </w:rPr>
  </w:style>
  <w:style w:type="character" w:customStyle="1" w:styleId="Estilo1Car">
    <w:name w:val="Estilo1 Car"/>
    <w:basedOn w:val="Fuentedeprrafopredeter"/>
    <w:link w:val="Estilo1"/>
    <w:rsid w:val="00DF71D7"/>
    <w:rPr>
      <w:rFonts w:cstheme="minorHAnsi"/>
      <w:sz w:val="28"/>
      <w:szCs w:val="24"/>
      <w:lang w:val="es-CO"/>
    </w:rPr>
  </w:style>
  <w:style w:type="paragraph" w:styleId="Tabladeilustraciones">
    <w:name w:val="table of figures"/>
    <w:basedOn w:val="Normal"/>
    <w:next w:val="Normal"/>
    <w:uiPriority w:val="99"/>
    <w:unhideWhenUsed/>
    <w:rsid w:val="00FD5E30"/>
    <w:pPr>
      <w:spacing w:after="0"/>
    </w:pPr>
  </w:style>
  <w:style w:type="paragraph" w:styleId="TDC1">
    <w:name w:val="toc 1"/>
    <w:basedOn w:val="Normal"/>
    <w:next w:val="Normal"/>
    <w:autoRedefine/>
    <w:uiPriority w:val="39"/>
    <w:unhideWhenUsed/>
    <w:rsid w:val="00635A7C"/>
    <w:pPr>
      <w:spacing w:after="100"/>
    </w:pPr>
  </w:style>
  <w:style w:type="paragraph" w:styleId="TDC2">
    <w:name w:val="toc 2"/>
    <w:basedOn w:val="Normal"/>
    <w:next w:val="Normal"/>
    <w:autoRedefine/>
    <w:uiPriority w:val="39"/>
    <w:unhideWhenUsed/>
    <w:rsid w:val="004D060F"/>
    <w:pPr>
      <w:tabs>
        <w:tab w:val="left" w:pos="660"/>
        <w:tab w:val="right" w:pos="8828"/>
      </w:tabs>
      <w:spacing w:after="100"/>
    </w:pPr>
  </w:style>
  <w:style w:type="character" w:customStyle="1" w:styleId="Ttulo6Car">
    <w:name w:val="Título 6 Car"/>
    <w:basedOn w:val="Fuentedeprrafopredeter"/>
    <w:link w:val="Ttulo6"/>
    <w:uiPriority w:val="9"/>
    <w:semiHidden/>
    <w:rsid w:val="000D3931"/>
    <w:rPr>
      <w:rFonts w:asciiTheme="majorHAnsi" w:eastAsiaTheme="majorEastAsia" w:hAnsiTheme="majorHAnsi" w:cstheme="majorBidi"/>
      <w:color w:val="1F3763" w:themeColor="accent1" w:themeShade="7F"/>
      <w:lang w:val="es-CO"/>
      <w14:ligatures w14:val="none"/>
    </w:rPr>
  </w:style>
  <w:style w:type="character" w:customStyle="1" w:styleId="Ttulo7Car">
    <w:name w:val="Título 7 Car"/>
    <w:basedOn w:val="Fuentedeprrafopredeter"/>
    <w:link w:val="Ttulo7"/>
    <w:uiPriority w:val="9"/>
    <w:semiHidden/>
    <w:rsid w:val="000D3931"/>
    <w:rPr>
      <w:rFonts w:asciiTheme="majorHAnsi" w:eastAsiaTheme="majorEastAsia" w:hAnsiTheme="majorHAnsi" w:cstheme="majorBidi"/>
      <w:i/>
      <w:iCs/>
      <w:color w:val="1F3763" w:themeColor="accent1" w:themeShade="7F"/>
      <w:lang w:val="es-CO"/>
      <w14:ligatures w14:val="none"/>
    </w:rPr>
  </w:style>
  <w:style w:type="character" w:customStyle="1" w:styleId="Ttulo8Car">
    <w:name w:val="Título 8 Car"/>
    <w:basedOn w:val="Fuentedeprrafopredeter"/>
    <w:link w:val="Ttulo8"/>
    <w:uiPriority w:val="9"/>
    <w:semiHidden/>
    <w:rsid w:val="000D3931"/>
    <w:rPr>
      <w:rFonts w:asciiTheme="majorHAnsi" w:eastAsiaTheme="majorEastAsia" w:hAnsiTheme="majorHAnsi" w:cstheme="majorBidi"/>
      <w:color w:val="272727" w:themeColor="text1" w:themeTint="D8"/>
      <w:sz w:val="21"/>
      <w:szCs w:val="21"/>
      <w:lang w:val="es-CO"/>
      <w14:ligatures w14:val="none"/>
    </w:rPr>
  </w:style>
  <w:style w:type="character" w:customStyle="1" w:styleId="Ttulo9Car">
    <w:name w:val="Título 9 Car"/>
    <w:basedOn w:val="Fuentedeprrafopredeter"/>
    <w:link w:val="Ttulo9"/>
    <w:uiPriority w:val="9"/>
    <w:semiHidden/>
    <w:rsid w:val="000D3931"/>
    <w:rPr>
      <w:rFonts w:asciiTheme="majorHAnsi" w:eastAsiaTheme="majorEastAsia" w:hAnsiTheme="majorHAnsi" w:cstheme="majorBidi"/>
      <w:i/>
      <w:iCs/>
      <w:color w:val="272727" w:themeColor="text1" w:themeTint="D8"/>
      <w:sz w:val="21"/>
      <w:szCs w:val="21"/>
      <w:lang w:val="es-CO"/>
      <w14:ligatures w14:val="none"/>
    </w:rPr>
  </w:style>
  <w:style w:type="table" w:styleId="Listaclara">
    <w:name w:val="Light List"/>
    <w:basedOn w:val="Tablanormal"/>
    <w:uiPriority w:val="61"/>
    <w:rsid w:val="000D3931"/>
    <w:pPr>
      <w:spacing w:after="0" w:line="240" w:lineRule="auto"/>
    </w:pPr>
    <w:rPr>
      <w:rFonts w:eastAsiaTheme="minorEastAsia"/>
      <w:lang w:val="es-CO" w:eastAsia="es-CO"/>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TESIS">
    <w:name w:val="TESIS"/>
    <w:basedOn w:val="Ttulo1"/>
    <w:next w:val="Normal"/>
    <w:link w:val="TESISCar"/>
    <w:qFormat/>
    <w:rsid w:val="000D3931"/>
    <w:pPr>
      <w:ind w:left="432" w:hanging="432"/>
    </w:pPr>
    <w:rPr>
      <w:rFonts w:ascii="Arial" w:hAnsi="Arial"/>
      <w:color w:val="2F5496" w:themeColor="accent1" w:themeShade="BF"/>
      <w:lang w:val="es-CO"/>
      <w14:ligatures w14:val="none"/>
    </w:rPr>
  </w:style>
  <w:style w:type="character" w:customStyle="1" w:styleId="TESISCar">
    <w:name w:val="TESIS Car"/>
    <w:basedOn w:val="Ttulo1Car"/>
    <w:link w:val="TESIS"/>
    <w:rsid w:val="000D3931"/>
    <w:rPr>
      <w:rFonts w:ascii="Arial" w:eastAsiaTheme="majorEastAsia" w:hAnsi="Arial" w:cstheme="majorBidi"/>
      <w:b/>
      <w:color w:val="2F5496" w:themeColor="accent1" w:themeShade="BF"/>
      <w:sz w:val="24"/>
      <w:szCs w:val="32"/>
      <w:lang w:val="es-CO"/>
      <w14:ligatures w14:val="none"/>
    </w:rPr>
  </w:style>
  <w:style w:type="character" w:customStyle="1" w:styleId="katex-mathml">
    <w:name w:val="katex-mathml"/>
    <w:basedOn w:val="Fuentedeprrafopredeter"/>
    <w:rsid w:val="000D3931"/>
  </w:style>
  <w:style w:type="paragraph" w:styleId="TDC3">
    <w:name w:val="toc 3"/>
    <w:basedOn w:val="Normal"/>
    <w:next w:val="Normal"/>
    <w:autoRedefine/>
    <w:uiPriority w:val="39"/>
    <w:unhideWhenUsed/>
    <w:rsid w:val="00601834"/>
    <w:pPr>
      <w:tabs>
        <w:tab w:val="left" w:pos="1540"/>
        <w:tab w:val="right" w:pos="8828"/>
      </w:tabs>
      <w:spacing w:after="100"/>
      <w:ind w:left="220"/>
    </w:pPr>
    <w:rPr>
      <w:rFonts w:cstheme="minorHAnsi"/>
      <w:noProof/>
      <w:lang w:val="es-CO"/>
      <w14:ligatures w14:val="none"/>
    </w:rPr>
  </w:style>
  <w:style w:type="paragraph" w:styleId="TDC4">
    <w:name w:val="toc 4"/>
    <w:basedOn w:val="Normal"/>
    <w:next w:val="Normal"/>
    <w:autoRedefine/>
    <w:uiPriority w:val="39"/>
    <w:unhideWhenUsed/>
    <w:rsid w:val="005155B7"/>
    <w:pPr>
      <w:spacing w:after="100"/>
      <w:ind w:left="660"/>
    </w:pPr>
    <w:rPr>
      <w:rFonts w:eastAsiaTheme="minorEastAsia"/>
      <w:kern w:val="2"/>
    </w:rPr>
  </w:style>
  <w:style w:type="paragraph" w:styleId="TDC5">
    <w:name w:val="toc 5"/>
    <w:basedOn w:val="Normal"/>
    <w:next w:val="Normal"/>
    <w:autoRedefine/>
    <w:uiPriority w:val="39"/>
    <w:unhideWhenUsed/>
    <w:rsid w:val="005155B7"/>
    <w:pPr>
      <w:spacing w:after="100"/>
      <w:ind w:left="880"/>
    </w:pPr>
    <w:rPr>
      <w:rFonts w:eastAsiaTheme="minorEastAsia"/>
      <w:kern w:val="2"/>
    </w:rPr>
  </w:style>
  <w:style w:type="paragraph" w:styleId="TDC6">
    <w:name w:val="toc 6"/>
    <w:basedOn w:val="Normal"/>
    <w:next w:val="Normal"/>
    <w:autoRedefine/>
    <w:uiPriority w:val="39"/>
    <w:unhideWhenUsed/>
    <w:rsid w:val="005155B7"/>
    <w:pPr>
      <w:spacing w:after="100"/>
      <w:ind w:left="1100"/>
    </w:pPr>
    <w:rPr>
      <w:rFonts w:eastAsiaTheme="minorEastAsia"/>
      <w:kern w:val="2"/>
    </w:rPr>
  </w:style>
  <w:style w:type="paragraph" w:styleId="TDC7">
    <w:name w:val="toc 7"/>
    <w:basedOn w:val="Normal"/>
    <w:next w:val="Normal"/>
    <w:autoRedefine/>
    <w:uiPriority w:val="39"/>
    <w:unhideWhenUsed/>
    <w:rsid w:val="005155B7"/>
    <w:pPr>
      <w:spacing w:after="100"/>
      <w:ind w:left="1320"/>
    </w:pPr>
    <w:rPr>
      <w:rFonts w:eastAsiaTheme="minorEastAsia"/>
      <w:kern w:val="2"/>
    </w:rPr>
  </w:style>
  <w:style w:type="paragraph" w:styleId="TDC8">
    <w:name w:val="toc 8"/>
    <w:basedOn w:val="Normal"/>
    <w:next w:val="Normal"/>
    <w:autoRedefine/>
    <w:uiPriority w:val="39"/>
    <w:unhideWhenUsed/>
    <w:rsid w:val="005155B7"/>
    <w:pPr>
      <w:spacing w:after="100"/>
      <w:ind w:left="1540"/>
    </w:pPr>
    <w:rPr>
      <w:rFonts w:eastAsiaTheme="minorEastAsia"/>
      <w:kern w:val="2"/>
    </w:rPr>
  </w:style>
  <w:style w:type="paragraph" w:styleId="TDC9">
    <w:name w:val="toc 9"/>
    <w:basedOn w:val="Normal"/>
    <w:next w:val="Normal"/>
    <w:autoRedefine/>
    <w:uiPriority w:val="39"/>
    <w:unhideWhenUsed/>
    <w:rsid w:val="005155B7"/>
    <w:pPr>
      <w:spacing w:after="100"/>
      <w:ind w:left="1760"/>
    </w:pPr>
    <w:rPr>
      <w:rFonts w:eastAsiaTheme="minorEastAsia"/>
      <w:kern w:val="2"/>
    </w:rPr>
  </w:style>
  <w:style w:type="numbering" w:customStyle="1" w:styleId="Listaactual1">
    <w:name w:val="Lista actual1"/>
    <w:uiPriority w:val="99"/>
    <w:rsid w:val="00480A5D"/>
    <w:pPr>
      <w:numPr>
        <w:numId w:val="1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18761">
      <w:bodyDiv w:val="1"/>
      <w:marLeft w:val="0"/>
      <w:marRight w:val="0"/>
      <w:marTop w:val="0"/>
      <w:marBottom w:val="0"/>
      <w:divBdr>
        <w:top w:val="none" w:sz="0" w:space="0" w:color="auto"/>
        <w:left w:val="none" w:sz="0" w:space="0" w:color="auto"/>
        <w:bottom w:val="none" w:sz="0" w:space="0" w:color="auto"/>
        <w:right w:val="none" w:sz="0" w:space="0" w:color="auto"/>
      </w:divBdr>
    </w:div>
    <w:div w:id="100491542">
      <w:bodyDiv w:val="1"/>
      <w:marLeft w:val="0"/>
      <w:marRight w:val="0"/>
      <w:marTop w:val="0"/>
      <w:marBottom w:val="0"/>
      <w:divBdr>
        <w:top w:val="none" w:sz="0" w:space="0" w:color="auto"/>
        <w:left w:val="none" w:sz="0" w:space="0" w:color="auto"/>
        <w:bottom w:val="none" w:sz="0" w:space="0" w:color="auto"/>
        <w:right w:val="none" w:sz="0" w:space="0" w:color="auto"/>
      </w:divBdr>
    </w:div>
    <w:div w:id="138037762">
      <w:bodyDiv w:val="1"/>
      <w:marLeft w:val="0"/>
      <w:marRight w:val="0"/>
      <w:marTop w:val="0"/>
      <w:marBottom w:val="0"/>
      <w:divBdr>
        <w:top w:val="none" w:sz="0" w:space="0" w:color="auto"/>
        <w:left w:val="none" w:sz="0" w:space="0" w:color="auto"/>
        <w:bottom w:val="none" w:sz="0" w:space="0" w:color="auto"/>
        <w:right w:val="none" w:sz="0" w:space="0" w:color="auto"/>
      </w:divBdr>
      <w:divsChild>
        <w:div w:id="2097365700">
          <w:marLeft w:val="0"/>
          <w:marRight w:val="0"/>
          <w:marTop w:val="0"/>
          <w:marBottom w:val="0"/>
          <w:divBdr>
            <w:top w:val="none" w:sz="0" w:space="0" w:color="auto"/>
            <w:left w:val="none" w:sz="0" w:space="0" w:color="auto"/>
            <w:bottom w:val="none" w:sz="0" w:space="0" w:color="auto"/>
            <w:right w:val="none" w:sz="0" w:space="0" w:color="auto"/>
          </w:divBdr>
          <w:divsChild>
            <w:div w:id="325979026">
              <w:marLeft w:val="0"/>
              <w:marRight w:val="0"/>
              <w:marTop w:val="0"/>
              <w:marBottom w:val="0"/>
              <w:divBdr>
                <w:top w:val="none" w:sz="0" w:space="0" w:color="auto"/>
                <w:left w:val="none" w:sz="0" w:space="0" w:color="auto"/>
                <w:bottom w:val="none" w:sz="0" w:space="0" w:color="auto"/>
                <w:right w:val="none" w:sz="0" w:space="0" w:color="auto"/>
              </w:divBdr>
              <w:divsChild>
                <w:div w:id="1636253057">
                  <w:marLeft w:val="0"/>
                  <w:marRight w:val="0"/>
                  <w:marTop w:val="0"/>
                  <w:marBottom w:val="0"/>
                  <w:divBdr>
                    <w:top w:val="none" w:sz="0" w:space="0" w:color="auto"/>
                    <w:left w:val="none" w:sz="0" w:space="0" w:color="auto"/>
                    <w:bottom w:val="none" w:sz="0" w:space="0" w:color="auto"/>
                    <w:right w:val="none" w:sz="0" w:space="0" w:color="auto"/>
                  </w:divBdr>
                  <w:divsChild>
                    <w:div w:id="1894194097">
                      <w:marLeft w:val="0"/>
                      <w:marRight w:val="0"/>
                      <w:marTop w:val="0"/>
                      <w:marBottom w:val="0"/>
                      <w:divBdr>
                        <w:top w:val="none" w:sz="0" w:space="0" w:color="auto"/>
                        <w:left w:val="none" w:sz="0" w:space="0" w:color="auto"/>
                        <w:bottom w:val="none" w:sz="0" w:space="0" w:color="auto"/>
                        <w:right w:val="none" w:sz="0" w:space="0" w:color="auto"/>
                      </w:divBdr>
                      <w:divsChild>
                        <w:div w:id="1225944392">
                          <w:marLeft w:val="0"/>
                          <w:marRight w:val="0"/>
                          <w:marTop w:val="0"/>
                          <w:marBottom w:val="0"/>
                          <w:divBdr>
                            <w:top w:val="none" w:sz="0" w:space="0" w:color="auto"/>
                            <w:left w:val="none" w:sz="0" w:space="0" w:color="auto"/>
                            <w:bottom w:val="none" w:sz="0" w:space="0" w:color="auto"/>
                            <w:right w:val="none" w:sz="0" w:space="0" w:color="auto"/>
                          </w:divBdr>
                          <w:divsChild>
                            <w:div w:id="115295799">
                              <w:marLeft w:val="0"/>
                              <w:marRight w:val="0"/>
                              <w:marTop w:val="0"/>
                              <w:marBottom w:val="0"/>
                              <w:divBdr>
                                <w:top w:val="none" w:sz="0" w:space="0" w:color="auto"/>
                                <w:left w:val="none" w:sz="0" w:space="0" w:color="auto"/>
                                <w:bottom w:val="none" w:sz="0" w:space="0" w:color="auto"/>
                                <w:right w:val="none" w:sz="0" w:space="0" w:color="auto"/>
                              </w:divBdr>
                              <w:divsChild>
                                <w:div w:id="812598761">
                                  <w:marLeft w:val="0"/>
                                  <w:marRight w:val="0"/>
                                  <w:marTop w:val="0"/>
                                  <w:marBottom w:val="0"/>
                                  <w:divBdr>
                                    <w:top w:val="none" w:sz="0" w:space="0" w:color="auto"/>
                                    <w:left w:val="none" w:sz="0" w:space="0" w:color="auto"/>
                                    <w:bottom w:val="none" w:sz="0" w:space="0" w:color="auto"/>
                                    <w:right w:val="none" w:sz="0" w:space="0" w:color="auto"/>
                                  </w:divBdr>
                                  <w:divsChild>
                                    <w:div w:id="184112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589942">
                          <w:marLeft w:val="0"/>
                          <w:marRight w:val="0"/>
                          <w:marTop w:val="0"/>
                          <w:marBottom w:val="0"/>
                          <w:divBdr>
                            <w:top w:val="none" w:sz="0" w:space="0" w:color="auto"/>
                            <w:left w:val="none" w:sz="0" w:space="0" w:color="auto"/>
                            <w:bottom w:val="none" w:sz="0" w:space="0" w:color="auto"/>
                            <w:right w:val="none" w:sz="0" w:space="0" w:color="auto"/>
                          </w:divBdr>
                          <w:divsChild>
                            <w:div w:id="1496604248">
                              <w:marLeft w:val="0"/>
                              <w:marRight w:val="0"/>
                              <w:marTop w:val="0"/>
                              <w:marBottom w:val="0"/>
                              <w:divBdr>
                                <w:top w:val="none" w:sz="0" w:space="0" w:color="auto"/>
                                <w:left w:val="none" w:sz="0" w:space="0" w:color="auto"/>
                                <w:bottom w:val="none" w:sz="0" w:space="0" w:color="auto"/>
                                <w:right w:val="none" w:sz="0" w:space="0" w:color="auto"/>
                              </w:divBdr>
                              <w:divsChild>
                                <w:div w:id="254634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939113">
      <w:bodyDiv w:val="1"/>
      <w:marLeft w:val="0"/>
      <w:marRight w:val="0"/>
      <w:marTop w:val="0"/>
      <w:marBottom w:val="0"/>
      <w:divBdr>
        <w:top w:val="none" w:sz="0" w:space="0" w:color="auto"/>
        <w:left w:val="none" w:sz="0" w:space="0" w:color="auto"/>
        <w:bottom w:val="none" w:sz="0" w:space="0" w:color="auto"/>
        <w:right w:val="none" w:sz="0" w:space="0" w:color="auto"/>
      </w:divBdr>
    </w:div>
    <w:div w:id="283925007">
      <w:bodyDiv w:val="1"/>
      <w:marLeft w:val="0"/>
      <w:marRight w:val="0"/>
      <w:marTop w:val="0"/>
      <w:marBottom w:val="0"/>
      <w:divBdr>
        <w:top w:val="none" w:sz="0" w:space="0" w:color="auto"/>
        <w:left w:val="none" w:sz="0" w:space="0" w:color="auto"/>
        <w:bottom w:val="none" w:sz="0" w:space="0" w:color="auto"/>
        <w:right w:val="none" w:sz="0" w:space="0" w:color="auto"/>
      </w:divBdr>
    </w:div>
    <w:div w:id="289363398">
      <w:bodyDiv w:val="1"/>
      <w:marLeft w:val="0"/>
      <w:marRight w:val="0"/>
      <w:marTop w:val="0"/>
      <w:marBottom w:val="0"/>
      <w:divBdr>
        <w:top w:val="none" w:sz="0" w:space="0" w:color="auto"/>
        <w:left w:val="none" w:sz="0" w:space="0" w:color="auto"/>
        <w:bottom w:val="none" w:sz="0" w:space="0" w:color="auto"/>
        <w:right w:val="none" w:sz="0" w:space="0" w:color="auto"/>
      </w:divBdr>
    </w:div>
    <w:div w:id="343435642">
      <w:bodyDiv w:val="1"/>
      <w:marLeft w:val="0"/>
      <w:marRight w:val="0"/>
      <w:marTop w:val="0"/>
      <w:marBottom w:val="0"/>
      <w:divBdr>
        <w:top w:val="none" w:sz="0" w:space="0" w:color="auto"/>
        <w:left w:val="none" w:sz="0" w:space="0" w:color="auto"/>
        <w:bottom w:val="none" w:sz="0" w:space="0" w:color="auto"/>
        <w:right w:val="none" w:sz="0" w:space="0" w:color="auto"/>
      </w:divBdr>
      <w:divsChild>
        <w:div w:id="1026056613">
          <w:marLeft w:val="0"/>
          <w:marRight w:val="0"/>
          <w:marTop w:val="0"/>
          <w:marBottom w:val="0"/>
          <w:divBdr>
            <w:top w:val="none" w:sz="0" w:space="0" w:color="auto"/>
            <w:left w:val="none" w:sz="0" w:space="0" w:color="auto"/>
            <w:bottom w:val="none" w:sz="0" w:space="0" w:color="auto"/>
            <w:right w:val="none" w:sz="0" w:space="0" w:color="auto"/>
          </w:divBdr>
          <w:divsChild>
            <w:div w:id="1898280569">
              <w:marLeft w:val="0"/>
              <w:marRight w:val="0"/>
              <w:marTop w:val="0"/>
              <w:marBottom w:val="0"/>
              <w:divBdr>
                <w:top w:val="single" w:sz="2" w:space="0" w:color="E5E7EB"/>
                <w:left w:val="single" w:sz="2" w:space="0" w:color="E5E7EB"/>
                <w:bottom w:val="single" w:sz="2" w:space="0" w:color="E5E7EB"/>
                <w:right w:val="single" w:sz="2" w:space="0" w:color="E5E7EB"/>
              </w:divBdr>
              <w:divsChild>
                <w:div w:id="1442603785">
                  <w:marLeft w:val="0"/>
                  <w:marRight w:val="0"/>
                  <w:marTop w:val="0"/>
                  <w:marBottom w:val="0"/>
                  <w:divBdr>
                    <w:top w:val="single" w:sz="2" w:space="6" w:color="E5E7EB"/>
                    <w:left w:val="single" w:sz="2" w:space="0" w:color="E5E7EB"/>
                    <w:bottom w:val="single" w:sz="2" w:space="6" w:color="E5E7EB"/>
                    <w:right w:val="single" w:sz="2" w:space="6" w:color="E5E7EB"/>
                  </w:divBdr>
                  <w:divsChild>
                    <w:div w:id="2092579596">
                      <w:marLeft w:val="0"/>
                      <w:marRight w:val="0"/>
                      <w:marTop w:val="0"/>
                      <w:marBottom w:val="0"/>
                      <w:divBdr>
                        <w:top w:val="none" w:sz="0" w:space="0" w:color="auto"/>
                        <w:left w:val="none" w:sz="0" w:space="0" w:color="auto"/>
                        <w:bottom w:val="none" w:sz="0" w:space="0" w:color="auto"/>
                        <w:right w:val="none" w:sz="0" w:space="0" w:color="auto"/>
                      </w:divBdr>
                      <w:divsChild>
                        <w:div w:id="869295795">
                          <w:marLeft w:val="0"/>
                          <w:marRight w:val="0"/>
                          <w:marTop w:val="0"/>
                          <w:marBottom w:val="0"/>
                          <w:divBdr>
                            <w:top w:val="single" w:sz="2" w:space="0" w:color="E5E7EB"/>
                            <w:left w:val="single" w:sz="2" w:space="0" w:color="E5E7EB"/>
                            <w:bottom w:val="single" w:sz="2" w:space="0" w:color="E5E7EB"/>
                            <w:right w:val="single" w:sz="2" w:space="0" w:color="E5E7EB"/>
                          </w:divBdr>
                          <w:divsChild>
                            <w:div w:id="926226558">
                              <w:marLeft w:val="0"/>
                              <w:marRight w:val="0"/>
                              <w:marTop w:val="0"/>
                              <w:marBottom w:val="0"/>
                              <w:divBdr>
                                <w:top w:val="single" w:sz="2" w:space="0" w:color="E5E7EB"/>
                                <w:left w:val="single" w:sz="2" w:space="0" w:color="E5E7EB"/>
                                <w:bottom w:val="single" w:sz="2" w:space="0" w:color="E5E7EB"/>
                                <w:right w:val="single" w:sz="2" w:space="0" w:color="E5E7EB"/>
                              </w:divBdr>
                              <w:divsChild>
                                <w:div w:id="1505977169">
                                  <w:marLeft w:val="0"/>
                                  <w:marRight w:val="0"/>
                                  <w:marTop w:val="0"/>
                                  <w:marBottom w:val="0"/>
                                  <w:divBdr>
                                    <w:top w:val="single" w:sz="2" w:space="0" w:color="E5E7EB"/>
                                    <w:left w:val="single" w:sz="2" w:space="0" w:color="E5E7EB"/>
                                    <w:bottom w:val="single" w:sz="2" w:space="0" w:color="E5E7EB"/>
                                    <w:right w:val="single" w:sz="2" w:space="0" w:color="E5E7EB"/>
                                  </w:divBdr>
                                  <w:divsChild>
                                    <w:div w:id="45302994">
                                      <w:marLeft w:val="0"/>
                                      <w:marRight w:val="0"/>
                                      <w:marTop w:val="0"/>
                                      <w:marBottom w:val="0"/>
                                      <w:divBdr>
                                        <w:top w:val="single" w:sz="2" w:space="0" w:color="E5E7EB"/>
                                        <w:left w:val="single" w:sz="2" w:space="0" w:color="E5E7EB"/>
                                        <w:bottom w:val="single" w:sz="2" w:space="31" w:color="E5E7EB"/>
                                        <w:right w:val="single" w:sz="2" w:space="0" w:color="E5E7EB"/>
                                      </w:divBdr>
                                      <w:divsChild>
                                        <w:div w:id="236524799">
                                          <w:marLeft w:val="0"/>
                                          <w:marRight w:val="0"/>
                                          <w:marTop w:val="0"/>
                                          <w:marBottom w:val="0"/>
                                          <w:divBdr>
                                            <w:top w:val="none" w:sz="0" w:space="0" w:color="auto"/>
                                            <w:left w:val="none" w:sz="0" w:space="0" w:color="auto"/>
                                            <w:bottom w:val="none" w:sz="0" w:space="0" w:color="auto"/>
                                            <w:right w:val="none" w:sz="0" w:space="0" w:color="auto"/>
                                          </w:divBdr>
                                          <w:divsChild>
                                            <w:div w:id="1408259495">
                                              <w:marLeft w:val="0"/>
                                              <w:marRight w:val="0"/>
                                              <w:marTop w:val="0"/>
                                              <w:marBottom w:val="0"/>
                                              <w:divBdr>
                                                <w:top w:val="none" w:sz="0" w:space="0" w:color="auto"/>
                                                <w:left w:val="none" w:sz="0" w:space="0" w:color="auto"/>
                                                <w:bottom w:val="none" w:sz="0" w:space="0" w:color="auto"/>
                                                <w:right w:val="none" w:sz="0" w:space="0" w:color="auto"/>
                                              </w:divBdr>
                                              <w:divsChild>
                                                <w:div w:id="1102458909">
                                                  <w:marLeft w:val="0"/>
                                                  <w:marRight w:val="0"/>
                                                  <w:marTop w:val="0"/>
                                                  <w:marBottom w:val="0"/>
                                                  <w:divBdr>
                                                    <w:top w:val="single" w:sz="2" w:space="0" w:color="E5E7EB"/>
                                                    <w:left w:val="single" w:sz="2" w:space="0" w:color="E5E7EB"/>
                                                    <w:bottom w:val="single" w:sz="2" w:space="0" w:color="E5E7EB"/>
                                                    <w:right w:val="single" w:sz="2" w:space="0" w:color="E5E7EB"/>
                                                  </w:divBdr>
                                                  <w:divsChild>
                                                    <w:div w:id="1919484986">
                                                      <w:marLeft w:val="0"/>
                                                      <w:marRight w:val="0"/>
                                                      <w:marTop w:val="0"/>
                                                      <w:marBottom w:val="0"/>
                                                      <w:divBdr>
                                                        <w:top w:val="single" w:sz="2" w:space="0" w:color="E5E7EB"/>
                                                        <w:left w:val="single" w:sz="2" w:space="0" w:color="E5E7EB"/>
                                                        <w:bottom w:val="single" w:sz="2" w:space="0" w:color="E5E7EB"/>
                                                        <w:right w:val="single" w:sz="2" w:space="0" w:color="E5E7EB"/>
                                                      </w:divBdr>
                                                      <w:divsChild>
                                                        <w:div w:id="815494115">
                                                          <w:marLeft w:val="0"/>
                                                          <w:marRight w:val="0"/>
                                                          <w:marTop w:val="0"/>
                                                          <w:marBottom w:val="0"/>
                                                          <w:divBdr>
                                                            <w:top w:val="single" w:sz="2" w:space="0" w:color="E5E7EB"/>
                                                            <w:left w:val="single" w:sz="2" w:space="0" w:color="E5E7EB"/>
                                                            <w:bottom w:val="single" w:sz="2" w:space="0" w:color="E5E7EB"/>
                                                            <w:right w:val="single" w:sz="2" w:space="0" w:color="E5E7EB"/>
                                                          </w:divBdr>
                                                          <w:divsChild>
                                                            <w:div w:id="593788214">
                                                              <w:marLeft w:val="0"/>
                                                              <w:marRight w:val="0"/>
                                                              <w:marTop w:val="0"/>
                                                              <w:marBottom w:val="0"/>
                                                              <w:divBdr>
                                                                <w:top w:val="single" w:sz="2" w:space="0" w:color="E5E7EB"/>
                                                                <w:left w:val="single" w:sz="2" w:space="0" w:color="E5E7EB"/>
                                                                <w:bottom w:val="single" w:sz="2" w:space="0" w:color="E5E7EB"/>
                                                                <w:right w:val="single" w:sz="2" w:space="0" w:color="E5E7EB"/>
                                                              </w:divBdr>
                                                              <w:divsChild>
                                                                <w:div w:id="1834712113">
                                                                  <w:marLeft w:val="0"/>
                                                                  <w:marRight w:val="0"/>
                                                                  <w:marTop w:val="0"/>
                                                                  <w:marBottom w:val="0"/>
                                                                  <w:divBdr>
                                                                    <w:top w:val="none" w:sz="0" w:space="0" w:color="auto"/>
                                                                    <w:left w:val="none" w:sz="0" w:space="0" w:color="auto"/>
                                                                    <w:bottom w:val="none" w:sz="0" w:space="0" w:color="auto"/>
                                                                    <w:right w:val="none" w:sz="0" w:space="0" w:color="auto"/>
                                                                  </w:divBdr>
                                                                  <w:divsChild>
                                                                    <w:div w:id="2111508240">
                                                                      <w:marLeft w:val="0"/>
                                                                      <w:marRight w:val="0"/>
                                                                      <w:marTop w:val="0"/>
                                                                      <w:marBottom w:val="0"/>
                                                                      <w:divBdr>
                                                                        <w:top w:val="single" w:sz="2" w:space="12" w:color="E5E7EB"/>
                                                                        <w:left w:val="single" w:sz="2" w:space="24" w:color="E5E7EB"/>
                                                                        <w:bottom w:val="single" w:sz="2" w:space="0" w:color="E5E7EB"/>
                                                                        <w:right w:val="single" w:sz="2" w:space="24" w:color="E5E7EB"/>
                                                                      </w:divBdr>
                                                                      <w:divsChild>
                                                                        <w:div w:id="1127971705">
                                                                          <w:marLeft w:val="0"/>
                                                                          <w:marRight w:val="0"/>
                                                                          <w:marTop w:val="0"/>
                                                                          <w:marBottom w:val="0"/>
                                                                          <w:divBdr>
                                                                            <w:top w:val="single" w:sz="2" w:space="0" w:color="auto"/>
                                                                            <w:left w:val="single" w:sz="2" w:space="0" w:color="auto"/>
                                                                            <w:bottom w:val="single" w:sz="6" w:space="24" w:color="auto"/>
                                                                            <w:right w:val="single" w:sz="2" w:space="0" w:color="auto"/>
                                                                          </w:divBdr>
                                                                          <w:divsChild>
                                                                            <w:div w:id="1433547388">
                                                                              <w:marLeft w:val="0"/>
                                                                              <w:marRight w:val="0"/>
                                                                              <w:marTop w:val="0"/>
                                                                              <w:marBottom w:val="0"/>
                                                                              <w:divBdr>
                                                                                <w:top w:val="single" w:sz="2" w:space="0" w:color="E5E7EB"/>
                                                                                <w:left w:val="single" w:sz="2" w:space="0" w:color="E5E7EB"/>
                                                                                <w:bottom w:val="single" w:sz="2" w:space="0" w:color="E5E7EB"/>
                                                                                <w:right w:val="single" w:sz="2" w:space="0" w:color="E5E7EB"/>
                                                                              </w:divBdr>
                                                                              <w:divsChild>
                                                                                <w:div w:id="1588492222">
                                                                                  <w:marLeft w:val="0"/>
                                                                                  <w:marRight w:val="0"/>
                                                                                  <w:marTop w:val="0"/>
                                                                                  <w:marBottom w:val="0"/>
                                                                                  <w:divBdr>
                                                                                    <w:top w:val="single" w:sz="2" w:space="0" w:color="E5E7EB"/>
                                                                                    <w:left w:val="single" w:sz="2" w:space="0" w:color="E5E7EB"/>
                                                                                    <w:bottom w:val="single" w:sz="2" w:space="0" w:color="E5E7EB"/>
                                                                                    <w:right w:val="single" w:sz="2" w:space="0" w:color="E5E7EB"/>
                                                                                  </w:divBdr>
                                                                                  <w:divsChild>
                                                                                    <w:div w:id="1119103381">
                                                                                      <w:marLeft w:val="0"/>
                                                                                      <w:marRight w:val="0"/>
                                                                                      <w:marTop w:val="120"/>
                                                                                      <w:marBottom w:val="0"/>
                                                                                      <w:divBdr>
                                                                                        <w:top w:val="single" w:sz="2" w:space="0" w:color="E5E7EB"/>
                                                                                        <w:left w:val="single" w:sz="2" w:space="0" w:color="E5E7EB"/>
                                                                                        <w:bottom w:val="single" w:sz="2" w:space="0" w:color="E5E7EB"/>
                                                                                        <w:right w:val="single" w:sz="2" w:space="0" w:color="E5E7EB"/>
                                                                                      </w:divBdr>
                                                                                      <w:divsChild>
                                                                                        <w:div w:id="1118573075">
                                                                                          <w:marLeft w:val="0"/>
                                                                                          <w:marRight w:val="0"/>
                                                                                          <w:marTop w:val="0"/>
                                                                                          <w:marBottom w:val="0"/>
                                                                                          <w:divBdr>
                                                                                            <w:top w:val="none" w:sz="0" w:space="0" w:color="auto"/>
                                                                                            <w:left w:val="none" w:sz="0" w:space="0" w:color="auto"/>
                                                                                            <w:bottom w:val="none" w:sz="0" w:space="0" w:color="auto"/>
                                                                                            <w:right w:val="none" w:sz="0" w:space="0" w:color="auto"/>
                                                                                          </w:divBdr>
                                                                                          <w:divsChild>
                                                                                            <w:div w:id="1277518223">
                                                                                              <w:marLeft w:val="0"/>
                                                                                              <w:marRight w:val="0"/>
                                                                                              <w:marTop w:val="0"/>
                                                                                              <w:marBottom w:val="0"/>
                                                                                              <w:divBdr>
                                                                                                <w:top w:val="single" w:sz="2" w:space="0" w:color="E5E7EB"/>
                                                                                                <w:left w:val="single" w:sz="2" w:space="0" w:color="E5E7EB"/>
                                                                                                <w:bottom w:val="single" w:sz="2" w:space="0" w:color="E5E7EB"/>
                                                                                                <w:right w:val="single" w:sz="2" w:space="0" w:color="E5E7EB"/>
                                                                                              </w:divBdr>
                                                                                              <w:divsChild>
                                                                                                <w:div w:id="394931217">
                                                                                                  <w:marLeft w:val="0"/>
                                                                                                  <w:marRight w:val="0"/>
                                                                                                  <w:marTop w:val="0"/>
                                                                                                  <w:marBottom w:val="0"/>
                                                                                                  <w:divBdr>
                                                                                                    <w:top w:val="single" w:sz="2" w:space="0" w:color="E5E7EB"/>
                                                                                                    <w:left w:val="single" w:sz="2" w:space="0" w:color="E5E7EB"/>
                                                                                                    <w:bottom w:val="single" w:sz="2" w:space="0" w:color="E5E7EB"/>
                                                                                                    <w:right w:val="single" w:sz="2" w:space="0" w:color="E5E7EB"/>
                                                                                                  </w:divBdr>
                                                                                                  <w:divsChild>
                                                                                                    <w:div w:id="732003130">
                                                                                                      <w:marLeft w:val="0"/>
                                                                                                      <w:marRight w:val="0"/>
                                                                                                      <w:marTop w:val="0"/>
                                                                                                      <w:marBottom w:val="0"/>
                                                                                                      <w:divBdr>
                                                                                                        <w:top w:val="single" w:sz="2" w:space="0" w:color="E5E7EB"/>
                                                                                                        <w:left w:val="single" w:sz="2" w:space="0" w:color="E5E7EB"/>
                                                                                                        <w:bottom w:val="single" w:sz="2" w:space="0" w:color="E5E7EB"/>
                                                                                                        <w:right w:val="single" w:sz="2" w:space="0" w:color="E5E7EB"/>
                                                                                                      </w:divBdr>
                                                                                                      <w:divsChild>
                                                                                                        <w:div w:id="1487428392">
                                                                                                          <w:marLeft w:val="0"/>
                                                                                                          <w:marRight w:val="0"/>
                                                                                                          <w:marTop w:val="0"/>
                                                                                                          <w:marBottom w:val="0"/>
                                                                                                          <w:divBdr>
                                                                                                            <w:top w:val="single" w:sz="2" w:space="0" w:color="E5E7EB"/>
                                                                                                            <w:left w:val="single" w:sz="2" w:space="0" w:color="E5E7EB"/>
                                                                                                            <w:bottom w:val="single" w:sz="2" w:space="0" w:color="E5E7EB"/>
                                                                                                            <w:right w:val="single" w:sz="2" w:space="0" w:color="E5E7EB"/>
                                                                                                          </w:divBdr>
                                                                                                          <w:divsChild>
                                                                                                            <w:div w:id="825050162">
                                                                                                              <w:marLeft w:val="0"/>
                                                                                                              <w:marRight w:val="0"/>
                                                                                                              <w:marTop w:val="0"/>
                                                                                                              <w:marBottom w:val="0"/>
                                                                                                              <w:divBdr>
                                                                                                                <w:top w:val="single" w:sz="2" w:space="0" w:color="E5E7EB"/>
                                                                                                                <w:left w:val="single" w:sz="2" w:space="0" w:color="E5E7EB"/>
                                                                                                                <w:bottom w:val="single" w:sz="2" w:space="0" w:color="E5E7EB"/>
                                                                                                                <w:right w:val="single" w:sz="2" w:space="0" w:color="E5E7EB"/>
                                                                                                              </w:divBdr>
                                                                                                              <w:divsChild>
                                                                                                                <w:div w:id="1134525203">
                                                                                                                  <w:marLeft w:val="0"/>
                                                                                                                  <w:marRight w:val="0"/>
                                                                                                                  <w:marTop w:val="0"/>
                                                                                                                  <w:marBottom w:val="0"/>
                                                                                                                  <w:divBdr>
                                                                                                                    <w:top w:val="single" w:sz="2" w:space="0" w:color="E5E7EB"/>
                                                                                                                    <w:left w:val="single" w:sz="2" w:space="0" w:color="E5E7EB"/>
                                                                                                                    <w:bottom w:val="single" w:sz="2" w:space="0" w:color="E5E7EB"/>
                                                                                                                    <w:right w:val="single" w:sz="2" w:space="0" w:color="E5E7EB"/>
                                                                                                                  </w:divBdr>
                                                                                                                  <w:divsChild>
                                                                                                                    <w:div w:id="1307659314">
                                                                                                                      <w:marLeft w:val="0"/>
                                                                                                                      <w:marRight w:val="0"/>
                                                                                                                      <w:marTop w:val="0"/>
                                                                                                                      <w:marBottom w:val="0"/>
                                                                                                                      <w:divBdr>
                                                                                                                        <w:top w:val="single" w:sz="2" w:space="0" w:color="E5E7EB"/>
                                                                                                                        <w:left w:val="single" w:sz="2" w:space="0" w:color="E5E7EB"/>
                                                                                                                        <w:bottom w:val="single" w:sz="2" w:space="0" w:color="E5E7EB"/>
                                                                                                                        <w:right w:val="single" w:sz="2" w:space="0" w:color="E5E7EB"/>
                                                                                                                      </w:divBdr>
                                                                                                                      <w:divsChild>
                                                                                                                        <w:div w:id="1202135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4921570">
                                                                                                  <w:marLeft w:val="0"/>
                                                                                                  <w:marRight w:val="0"/>
                                                                                                  <w:marTop w:val="0"/>
                                                                                                  <w:marBottom w:val="0"/>
                                                                                                  <w:divBdr>
                                                                                                    <w:top w:val="single" w:sz="2" w:space="0" w:color="E5E7EB"/>
                                                                                                    <w:left w:val="single" w:sz="2" w:space="0" w:color="E5E7EB"/>
                                                                                                    <w:bottom w:val="single" w:sz="2" w:space="0" w:color="E5E7EB"/>
                                                                                                    <w:right w:val="single" w:sz="2" w:space="0" w:color="E5E7EB"/>
                                                                                                  </w:divBdr>
                                                                                                  <w:divsChild>
                                                                                                    <w:div w:id="1302733597">
                                                                                                      <w:marLeft w:val="-120"/>
                                                                                                      <w:marRight w:val="0"/>
                                                                                                      <w:marTop w:val="0"/>
                                                                                                      <w:marBottom w:val="0"/>
                                                                                                      <w:divBdr>
                                                                                                        <w:top w:val="single" w:sz="2" w:space="0" w:color="E5E7EB"/>
                                                                                                        <w:left w:val="single" w:sz="2" w:space="0" w:color="E5E7EB"/>
                                                                                                        <w:bottom w:val="single" w:sz="2" w:space="0" w:color="E5E7EB"/>
                                                                                                        <w:right w:val="single" w:sz="2" w:space="0" w:color="E5E7EB"/>
                                                                                                      </w:divBdr>
                                                                                                      <w:divsChild>
                                                                                                        <w:div w:id="1740668576">
                                                                                                          <w:marLeft w:val="0"/>
                                                                                                          <w:marRight w:val="0"/>
                                                                                                          <w:marTop w:val="0"/>
                                                                                                          <w:marBottom w:val="0"/>
                                                                                                          <w:divBdr>
                                                                                                            <w:top w:val="single" w:sz="2" w:space="0" w:color="E5E7EB"/>
                                                                                                            <w:left w:val="single" w:sz="2" w:space="0" w:color="E5E7EB"/>
                                                                                                            <w:bottom w:val="single" w:sz="2" w:space="0" w:color="E5E7EB"/>
                                                                                                            <w:right w:val="single" w:sz="2" w:space="0" w:color="E5E7EB"/>
                                                                                                          </w:divBdr>
                                                                                                          <w:divsChild>
                                                                                                            <w:div w:id="76337798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748650384">
                                                                                                          <w:marLeft w:val="0"/>
                                                                                                          <w:marRight w:val="0"/>
                                                                                                          <w:marTop w:val="0"/>
                                                                                                          <w:marBottom w:val="0"/>
                                                                                                          <w:divBdr>
                                                                                                            <w:top w:val="single" w:sz="2" w:space="0" w:color="E5E7EB"/>
                                                                                                            <w:left w:val="single" w:sz="2" w:space="0" w:color="E5E7EB"/>
                                                                                                            <w:bottom w:val="single" w:sz="2" w:space="0" w:color="E5E7EB"/>
                                                                                                            <w:right w:val="single" w:sz="2" w:space="0" w:color="E5E7EB"/>
                                                                                                          </w:divBdr>
                                                                                                          <w:divsChild>
                                                                                                            <w:div w:id="1868710909">
                                                                                                              <w:marLeft w:val="0"/>
                                                                                                              <w:marRight w:val="0"/>
                                                                                                              <w:marTop w:val="0"/>
                                                                                                              <w:marBottom w:val="0"/>
                                                                                                              <w:divBdr>
                                                                                                                <w:top w:val="single" w:sz="2" w:space="0" w:color="E5E7EB"/>
                                                                                                                <w:left w:val="single" w:sz="2" w:space="0" w:color="E5E7EB"/>
                                                                                                                <w:bottom w:val="single" w:sz="2" w:space="0" w:color="E5E7EB"/>
                                                                                                                <w:right w:val="single" w:sz="2" w:space="0" w:color="E5E7EB"/>
                                                                                                              </w:divBdr>
                                                                                                              <w:divsChild>
                                                                                                                <w:div w:id="172093376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337422524">
                                                                                                          <w:marLeft w:val="0"/>
                                                                                                          <w:marRight w:val="0"/>
                                                                                                          <w:marTop w:val="0"/>
                                                                                                          <w:marBottom w:val="0"/>
                                                                                                          <w:divBdr>
                                                                                                            <w:top w:val="single" w:sz="2" w:space="0" w:color="E5E7EB"/>
                                                                                                            <w:left w:val="single" w:sz="2" w:space="0" w:color="E5E7EB"/>
                                                                                                            <w:bottom w:val="single" w:sz="2" w:space="0" w:color="E5E7EB"/>
                                                                                                            <w:right w:val="single" w:sz="2" w:space="0" w:color="E5E7EB"/>
                                                                                                          </w:divBdr>
                                                                                                          <w:divsChild>
                                                                                                            <w:div w:id="891648918">
                                                                                                              <w:marLeft w:val="0"/>
                                                                                                              <w:marRight w:val="0"/>
                                                                                                              <w:marTop w:val="0"/>
                                                                                                              <w:marBottom w:val="0"/>
                                                                                                              <w:divBdr>
                                                                                                                <w:top w:val="single" w:sz="2" w:space="0" w:color="E5E7EB"/>
                                                                                                                <w:left w:val="single" w:sz="2" w:space="0" w:color="E5E7EB"/>
                                                                                                                <w:bottom w:val="single" w:sz="2" w:space="0" w:color="E5E7EB"/>
                                                                                                                <w:right w:val="single" w:sz="2" w:space="0" w:color="E5E7EB"/>
                                                                                                              </w:divBdr>
                                                                                                              <w:divsChild>
                                                                                                                <w:div w:id="10928963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232088625">
                                                                                          <w:marLeft w:val="0"/>
                                                                                          <w:marRight w:val="0"/>
                                                                                          <w:marTop w:val="0"/>
                                                                                          <w:marBottom w:val="0"/>
                                                                                          <w:divBdr>
                                                                                            <w:top w:val="single" w:sz="2" w:space="0" w:color="E5E7EB"/>
                                                                                            <w:left w:val="single" w:sz="2" w:space="0" w:color="E5E7EB"/>
                                                                                            <w:bottom w:val="single" w:sz="2" w:space="0" w:color="E5E7EB"/>
                                                                                            <w:right w:val="single" w:sz="2" w:space="0" w:color="E5E7EB"/>
                                                                                          </w:divBdr>
                                                                                          <w:divsChild>
                                                                                            <w:div w:id="86318486">
                                                                                              <w:marLeft w:val="0"/>
                                                                                              <w:marRight w:val="0"/>
                                                                                              <w:marTop w:val="0"/>
                                                                                              <w:marBottom w:val="0"/>
                                                                                              <w:divBdr>
                                                                                                <w:top w:val="none" w:sz="0" w:space="0" w:color="auto"/>
                                                                                                <w:left w:val="none" w:sz="0" w:space="0" w:color="auto"/>
                                                                                                <w:bottom w:val="none" w:sz="0" w:space="0" w:color="auto"/>
                                                                                                <w:right w:val="none" w:sz="0" w:space="0" w:color="auto"/>
                                                                                              </w:divBdr>
                                                                                              <w:divsChild>
                                                                                                <w:div w:id="1351643851">
                                                                                                  <w:marLeft w:val="0"/>
                                                                                                  <w:marRight w:val="0"/>
                                                                                                  <w:marTop w:val="0"/>
                                                                                                  <w:marBottom w:val="0"/>
                                                                                                  <w:divBdr>
                                                                                                    <w:top w:val="none" w:sz="0" w:space="0" w:color="auto"/>
                                                                                                    <w:left w:val="none" w:sz="0" w:space="0" w:color="auto"/>
                                                                                                    <w:bottom w:val="none" w:sz="0" w:space="0" w:color="auto"/>
                                                                                                    <w:right w:val="none" w:sz="0" w:space="0" w:color="auto"/>
                                                                                                  </w:divBdr>
                                                                                                  <w:divsChild>
                                                                                                    <w:div w:id="1804040369">
                                                                                                      <w:marLeft w:val="0"/>
                                                                                                      <w:marRight w:val="0"/>
                                                                                                      <w:marTop w:val="0"/>
                                                                                                      <w:marBottom w:val="0"/>
                                                                                                      <w:divBdr>
                                                                                                        <w:top w:val="none" w:sz="0" w:space="0" w:color="auto"/>
                                                                                                        <w:left w:val="none" w:sz="0" w:space="0" w:color="auto"/>
                                                                                                        <w:bottom w:val="none" w:sz="0" w:space="0" w:color="auto"/>
                                                                                                        <w:right w:val="none" w:sz="0" w:space="0" w:color="auto"/>
                                                                                                      </w:divBdr>
                                                                                                      <w:divsChild>
                                                                                                        <w:div w:id="455829354">
                                                                                                          <w:marLeft w:val="0"/>
                                                                                                          <w:marRight w:val="0"/>
                                                                                                          <w:marTop w:val="0"/>
                                                                                                          <w:marBottom w:val="120"/>
                                                                                                          <w:divBdr>
                                                                                                            <w:top w:val="single" w:sz="2" w:space="0" w:color="E5E7EB"/>
                                                                                                            <w:left w:val="single" w:sz="2" w:space="0" w:color="E5E7EB"/>
                                                                                                            <w:bottom w:val="single" w:sz="2" w:space="0" w:color="E5E7EB"/>
                                                                                                            <w:right w:val="single" w:sz="2" w:space="0" w:color="E5E7EB"/>
                                                                                                          </w:divBdr>
                                                                                                          <w:divsChild>
                                                                                                            <w:div w:id="1632250790">
                                                                                                              <w:marLeft w:val="0"/>
                                                                                                              <w:marRight w:val="0"/>
                                                                                                              <w:marTop w:val="0"/>
                                                                                                              <w:marBottom w:val="0"/>
                                                                                                              <w:divBdr>
                                                                                                                <w:top w:val="single" w:sz="2" w:space="0" w:color="E5E7EB"/>
                                                                                                                <w:left w:val="single" w:sz="2" w:space="0" w:color="E5E7EB"/>
                                                                                                                <w:bottom w:val="single" w:sz="2" w:space="0" w:color="E5E7EB"/>
                                                                                                                <w:right w:val="single" w:sz="2" w:space="0" w:color="E5E7EB"/>
                                                                                                              </w:divBdr>
                                                                                                              <w:divsChild>
                                                                                                                <w:div w:id="286743851">
                                                                                                                  <w:marLeft w:val="0"/>
                                                                                                                  <w:marRight w:val="0"/>
                                                                                                                  <w:marTop w:val="0"/>
                                                                                                                  <w:marBottom w:val="0"/>
                                                                                                                  <w:divBdr>
                                                                                                                    <w:top w:val="single" w:sz="2" w:space="0" w:color="E5E7EB"/>
                                                                                                                    <w:left w:val="single" w:sz="2" w:space="0" w:color="E5E7EB"/>
                                                                                                                    <w:bottom w:val="single" w:sz="2" w:space="0" w:color="E5E7EB"/>
                                                                                                                    <w:right w:val="single" w:sz="2" w:space="0" w:color="E5E7EB"/>
                                                                                                                  </w:divBdr>
                                                                                                                  <w:divsChild>
                                                                                                                    <w:div w:id="2005014160">
                                                                                                                      <w:marLeft w:val="12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53189946">
                                                                                                      <w:marLeft w:val="0"/>
                                                                                                      <w:marRight w:val="0"/>
                                                                                                      <w:marTop w:val="0"/>
                                                                                                      <w:marBottom w:val="0"/>
                                                                                                      <w:divBdr>
                                                                                                        <w:top w:val="single" w:sz="6" w:space="0" w:color="auto"/>
                                                                                                        <w:left w:val="single" w:sz="2" w:space="0" w:color="auto"/>
                                                                                                        <w:bottom w:val="single" w:sz="2" w:space="0" w:color="auto"/>
                                                                                                        <w:right w:val="single" w:sz="2" w:space="0" w:color="auto"/>
                                                                                                      </w:divBdr>
                                                                                                      <w:divsChild>
                                                                                                        <w:div w:id="1105223566">
                                                                                                          <w:marLeft w:val="0"/>
                                                                                                          <w:marRight w:val="0"/>
                                                                                                          <w:marTop w:val="0"/>
                                                                                                          <w:marBottom w:val="0"/>
                                                                                                          <w:divBdr>
                                                                                                            <w:top w:val="single" w:sz="2" w:space="6" w:color="E5E7EB"/>
                                                                                                            <w:left w:val="single" w:sz="2" w:space="0" w:color="E5E7EB"/>
                                                                                                            <w:bottom w:val="single" w:sz="2" w:space="6" w:color="E5E7EB"/>
                                                                                                            <w:right w:val="single" w:sz="2" w:space="0" w:color="E5E7EB"/>
                                                                                                          </w:divBdr>
                                                                                                          <w:divsChild>
                                                                                                            <w:div w:id="132588852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885532680">
                                                                                                          <w:marLeft w:val="0"/>
                                                                                                          <w:marRight w:val="0"/>
                                                                                                          <w:marTop w:val="0"/>
                                                                                                          <w:marBottom w:val="0"/>
                                                                                                          <w:divBdr>
                                                                                                            <w:top w:val="single" w:sz="4" w:space="6" w:color="auto"/>
                                                                                                            <w:left w:val="single" w:sz="2" w:space="0" w:color="auto"/>
                                                                                                            <w:bottom w:val="single" w:sz="2" w:space="6" w:color="auto"/>
                                                                                                            <w:right w:val="single" w:sz="2" w:space="0" w:color="auto"/>
                                                                                                          </w:divBdr>
                                                                                                          <w:divsChild>
                                                                                                            <w:div w:id="185633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418841125">
                                                                                                          <w:marLeft w:val="0"/>
                                                                                                          <w:marRight w:val="0"/>
                                                                                                          <w:marTop w:val="0"/>
                                                                                                          <w:marBottom w:val="0"/>
                                                                                                          <w:divBdr>
                                                                                                            <w:top w:val="single" w:sz="4" w:space="6" w:color="auto"/>
                                                                                                            <w:left w:val="single" w:sz="2" w:space="0" w:color="auto"/>
                                                                                                            <w:bottom w:val="single" w:sz="2" w:space="6" w:color="auto"/>
                                                                                                            <w:right w:val="single" w:sz="2" w:space="0" w:color="auto"/>
                                                                                                          </w:divBdr>
                                                                                                          <w:divsChild>
                                                                                                            <w:div w:id="14691289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17070187">
                                                                                                          <w:marLeft w:val="0"/>
                                                                                                          <w:marRight w:val="0"/>
                                                                                                          <w:marTop w:val="0"/>
                                                                                                          <w:marBottom w:val="0"/>
                                                                                                          <w:divBdr>
                                                                                                            <w:top w:val="single" w:sz="4" w:space="6" w:color="auto"/>
                                                                                                            <w:left w:val="single" w:sz="2" w:space="0" w:color="auto"/>
                                                                                                            <w:bottom w:val="single" w:sz="2" w:space="6" w:color="auto"/>
                                                                                                            <w:right w:val="single" w:sz="2" w:space="0" w:color="auto"/>
                                                                                                          </w:divBdr>
                                                                                                          <w:divsChild>
                                                                                                            <w:div w:id="137130342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417361609">
                                                                                                          <w:marLeft w:val="0"/>
                                                                                                          <w:marRight w:val="0"/>
                                                                                                          <w:marTop w:val="0"/>
                                                                                                          <w:marBottom w:val="0"/>
                                                                                                          <w:divBdr>
                                                                                                            <w:top w:val="single" w:sz="4" w:space="6" w:color="auto"/>
                                                                                                            <w:left w:val="single" w:sz="2" w:space="0" w:color="auto"/>
                                                                                                            <w:bottom w:val="single" w:sz="2" w:space="6" w:color="auto"/>
                                                                                                            <w:right w:val="single" w:sz="2" w:space="0" w:color="auto"/>
                                                                                                          </w:divBdr>
                                                                                                          <w:divsChild>
                                                                                                            <w:div w:id="10664914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sChild>
                                                        </w:div>
                                                      </w:divsChild>
                                                    </w:div>
                                                    <w:div w:id="1677153578">
                                                      <w:marLeft w:val="0"/>
                                                      <w:marRight w:val="0"/>
                                                      <w:marTop w:val="0"/>
                                                      <w:marBottom w:val="0"/>
                                                      <w:divBdr>
                                                        <w:top w:val="single" w:sz="2" w:space="0" w:color="E5E7EB"/>
                                                        <w:left w:val="single" w:sz="2" w:space="0" w:color="E5E7EB"/>
                                                        <w:bottom w:val="single" w:sz="2" w:space="0" w:color="E5E7EB"/>
                                                        <w:right w:val="single" w:sz="2" w:space="0" w:color="E5E7EB"/>
                                                      </w:divBdr>
                                                      <w:divsChild>
                                                        <w:div w:id="720254048">
                                                          <w:marLeft w:val="0"/>
                                                          <w:marRight w:val="0"/>
                                                          <w:marTop w:val="0"/>
                                                          <w:marBottom w:val="0"/>
                                                          <w:divBdr>
                                                            <w:top w:val="single" w:sz="2" w:space="0" w:color="E5E7EB"/>
                                                            <w:left w:val="single" w:sz="2" w:space="0" w:color="E5E7EB"/>
                                                            <w:bottom w:val="single" w:sz="2" w:space="0" w:color="E5E7EB"/>
                                                            <w:right w:val="single" w:sz="2" w:space="0" w:color="E5E7EB"/>
                                                          </w:divBdr>
                                                          <w:divsChild>
                                                            <w:div w:id="7870540">
                                                              <w:marLeft w:val="0"/>
                                                              <w:marRight w:val="0"/>
                                                              <w:marTop w:val="0"/>
                                                              <w:marBottom w:val="0"/>
                                                              <w:divBdr>
                                                                <w:top w:val="single" w:sz="2" w:space="0" w:color="E5E7EB"/>
                                                                <w:left w:val="single" w:sz="2" w:space="0" w:color="E5E7EB"/>
                                                                <w:bottom w:val="single" w:sz="2" w:space="0" w:color="E5E7EB"/>
                                                                <w:right w:val="single" w:sz="2" w:space="0" w:color="E5E7EB"/>
                                                              </w:divBdr>
                                                              <w:divsChild>
                                                                <w:div w:id="551500087">
                                                                  <w:marLeft w:val="0"/>
                                                                  <w:marRight w:val="0"/>
                                                                  <w:marTop w:val="0"/>
                                                                  <w:marBottom w:val="0"/>
                                                                  <w:divBdr>
                                                                    <w:top w:val="none" w:sz="0" w:space="0" w:color="auto"/>
                                                                    <w:left w:val="none" w:sz="0" w:space="0" w:color="auto"/>
                                                                    <w:bottom w:val="none" w:sz="0" w:space="0" w:color="auto"/>
                                                                    <w:right w:val="none" w:sz="0" w:space="0" w:color="auto"/>
                                                                  </w:divBdr>
                                                                  <w:divsChild>
                                                                    <w:div w:id="560597087">
                                                                      <w:marLeft w:val="0"/>
                                                                      <w:marRight w:val="0"/>
                                                                      <w:marTop w:val="0"/>
                                                                      <w:marBottom w:val="0"/>
                                                                      <w:divBdr>
                                                                        <w:top w:val="single" w:sz="2" w:space="12" w:color="E5E7EB"/>
                                                                        <w:left w:val="single" w:sz="2" w:space="24" w:color="E5E7EB"/>
                                                                        <w:bottom w:val="single" w:sz="2" w:space="0" w:color="E5E7EB"/>
                                                                        <w:right w:val="single" w:sz="2" w:space="24" w:color="E5E7EB"/>
                                                                      </w:divBdr>
                                                                      <w:divsChild>
                                                                        <w:div w:id="584190314">
                                                                          <w:marLeft w:val="0"/>
                                                                          <w:marRight w:val="0"/>
                                                                          <w:marTop w:val="0"/>
                                                                          <w:marBottom w:val="0"/>
                                                                          <w:divBdr>
                                                                            <w:top w:val="single" w:sz="2" w:space="0" w:color="E5E7EB"/>
                                                                            <w:left w:val="single" w:sz="2" w:space="0" w:color="E5E7EB"/>
                                                                            <w:bottom w:val="single" w:sz="2" w:space="0" w:color="E5E7EB"/>
                                                                            <w:right w:val="single" w:sz="2" w:space="0" w:color="E5E7EB"/>
                                                                          </w:divBdr>
                                                                          <w:divsChild>
                                                                            <w:div w:id="161775305">
                                                                              <w:marLeft w:val="0"/>
                                                                              <w:marRight w:val="0"/>
                                                                              <w:marTop w:val="0"/>
                                                                              <w:marBottom w:val="0"/>
                                                                              <w:divBdr>
                                                                                <w:top w:val="single" w:sz="2" w:space="0" w:color="E5E7EB"/>
                                                                                <w:left w:val="single" w:sz="2" w:space="0" w:color="E5E7EB"/>
                                                                                <w:bottom w:val="single" w:sz="2" w:space="0" w:color="E5E7EB"/>
                                                                                <w:right w:val="single" w:sz="2" w:space="0" w:color="E5E7EB"/>
                                                                              </w:divBdr>
                                                                              <w:divsChild>
                                                                                <w:div w:id="1363745671">
                                                                                  <w:marLeft w:val="0"/>
                                                                                  <w:marRight w:val="0"/>
                                                                                  <w:marTop w:val="0"/>
                                                                                  <w:marBottom w:val="0"/>
                                                                                  <w:divBdr>
                                                                                    <w:top w:val="single" w:sz="2" w:space="0" w:color="E5E7EB"/>
                                                                                    <w:left w:val="single" w:sz="2" w:space="0" w:color="E5E7EB"/>
                                                                                    <w:bottom w:val="single" w:sz="2" w:space="0" w:color="E5E7EB"/>
                                                                                    <w:right w:val="single" w:sz="2" w:space="0" w:color="E5E7EB"/>
                                                                                  </w:divBdr>
                                                                                  <w:divsChild>
                                                                                    <w:div w:id="1357654988">
                                                                                      <w:marLeft w:val="0"/>
                                                                                      <w:marRight w:val="0"/>
                                                                                      <w:marTop w:val="0"/>
                                                                                      <w:marBottom w:val="120"/>
                                                                                      <w:divBdr>
                                                                                        <w:top w:val="single" w:sz="2" w:space="24" w:color="E5E7EB"/>
                                                                                        <w:left w:val="single" w:sz="2" w:space="0" w:color="E5E7EB"/>
                                                                                        <w:bottom w:val="single" w:sz="2" w:space="0" w:color="E5E7EB"/>
                                                                                        <w:right w:val="single" w:sz="2" w:space="0" w:color="E5E7EB"/>
                                                                                      </w:divBdr>
                                                                                      <w:divsChild>
                                                                                        <w:div w:id="1245989805">
                                                                                          <w:marLeft w:val="0"/>
                                                                                          <w:marRight w:val="720"/>
                                                                                          <w:marTop w:val="0"/>
                                                                                          <w:marBottom w:val="0"/>
                                                                                          <w:divBdr>
                                                                                            <w:top w:val="single" w:sz="2" w:space="0" w:color="E5E7EB"/>
                                                                                            <w:left w:val="single" w:sz="2" w:space="0" w:color="E5E7EB"/>
                                                                                            <w:bottom w:val="single" w:sz="2" w:space="0" w:color="E5E7EB"/>
                                                                                            <w:right w:val="single" w:sz="2" w:space="0" w:color="E5E7EB"/>
                                                                                          </w:divBdr>
                                                                                          <w:divsChild>
                                                                                            <w:div w:id="785849198">
                                                                                              <w:marLeft w:val="0"/>
                                                                                              <w:marRight w:val="0"/>
                                                                                              <w:marTop w:val="0"/>
                                                                                              <w:marBottom w:val="0"/>
                                                                                              <w:divBdr>
                                                                                                <w:top w:val="single" w:sz="2" w:space="0" w:color="E5E7EB"/>
                                                                                                <w:left w:val="single" w:sz="2" w:space="0" w:color="E5E7EB"/>
                                                                                                <w:bottom w:val="single" w:sz="2" w:space="0" w:color="E5E7EB"/>
                                                                                                <w:right w:val="single" w:sz="2" w:space="0" w:color="E5E7EB"/>
                                                                                              </w:divBdr>
                                                                                              <w:divsChild>
                                                                                                <w:div w:id="1625624048">
                                                                                                  <w:marLeft w:val="0"/>
                                                                                                  <w:marRight w:val="0"/>
                                                                                                  <w:marTop w:val="0"/>
                                                                                                  <w:marBottom w:val="0"/>
                                                                                                  <w:divBdr>
                                                                                                    <w:top w:val="single" w:sz="2" w:space="0" w:color="E5E7EB"/>
                                                                                                    <w:left w:val="single" w:sz="2" w:space="0" w:color="E5E7EB"/>
                                                                                                    <w:bottom w:val="single" w:sz="2" w:space="0" w:color="E5E7EB"/>
                                                                                                    <w:right w:val="single" w:sz="2" w:space="0" w:color="E5E7EB"/>
                                                                                                  </w:divBdr>
                                                                                                  <w:divsChild>
                                                                                                    <w:div w:id="7970670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2117750226">
                                                                          <w:marLeft w:val="-240"/>
                                                                          <w:marRight w:val="-240"/>
                                                                          <w:marTop w:val="0"/>
                                                                          <w:marBottom w:val="240"/>
                                                                          <w:divBdr>
                                                                            <w:top w:val="single" w:sz="2" w:space="0" w:color="E5E7EB"/>
                                                                            <w:left w:val="single" w:sz="2" w:space="12" w:color="E5E7EB"/>
                                                                            <w:bottom w:val="single" w:sz="2" w:space="0" w:color="E5E7EB"/>
                                                                            <w:right w:val="single" w:sz="2" w:space="12" w:color="E5E7EB"/>
                                                                          </w:divBdr>
                                                                          <w:divsChild>
                                                                            <w:div w:id="1618834720">
                                                                              <w:marLeft w:val="0"/>
                                                                              <w:marRight w:val="0"/>
                                                                              <w:marTop w:val="0"/>
                                                                              <w:marBottom w:val="0"/>
                                                                              <w:divBdr>
                                                                                <w:top w:val="single" w:sz="2" w:space="0" w:color="E5E7EB"/>
                                                                                <w:left w:val="single" w:sz="2" w:space="0" w:color="E5E7EB"/>
                                                                                <w:bottom w:val="single" w:sz="2" w:space="0" w:color="E5E7EB"/>
                                                                                <w:right w:val="single" w:sz="2" w:space="0" w:color="E5E7EB"/>
                                                                              </w:divBdr>
                                                                              <w:divsChild>
                                                                                <w:div w:id="1404714174">
                                                                                  <w:marLeft w:val="0"/>
                                                                                  <w:marRight w:val="0"/>
                                                                                  <w:marTop w:val="0"/>
                                                                                  <w:marBottom w:val="0"/>
                                                                                  <w:divBdr>
                                                                                    <w:top w:val="single" w:sz="2" w:space="0" w:color="E5E7EB"/>
                                                                                    <w:left w:val="single" w:sz="2" w:space="0" w:color="E5E7EB"/>
                                                                                    <w:bottom w:val="single" w:sz="2" w:space="0" w:color="E5E7EB"/>
                                                                                    <w:right w:val="single" w:sz="2" w:space="0" w:color="E5E7EB"/>
                                                                                  </w:divBdr>
                                                                                  <w:divsChild>
                                                                                    <w:div w:id="989940558">
                                                                                      <w:marLeft w:val="0"/>
                                                                                      <w:marRight w:val="0"/>
                                                                                      <w:marTop w:val="0"/>
                                                                                      <w:marBottom w:val="0"/>
                                                                                      <w:divBdr>
                                                                                        <w:top w:val="single" w:sz="2" w:space="0" w:color="E5E7EB"/>
                                                                                        <w:left w:val="single" w:sz="2" w:space="0" w:color="E5E7EB"/>
                                                                                        <w:bottom w:val="single" w:sz="2" w:space="0" w:color="E5E7EB"/>
                                                                                        <w:right w:val="single" w:sz="2" w:space="0" w:color="E5E7EB"/>
                                                                                      </w:divBdr>
                                                                                      <w:divsChild>
                                                                                        <w:div w:id="56688844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81416464">
                                                                                      <w:marLeft w:val="0"/>
                                                                                      <w:marRight w:val="0"/>
                                                                                      <w:marTop w:val="0"/>
                                                                                      <w:marBottom w:val="0"/>
                                                                                      <w:divBdr>
                                                                                        <w:top w:val="single" w:sz="2" w:space="0" w:color="auto"/>
                                                                                        <w:left w:val="single" w:sz="2" w:space="0" w:color="auto"/>
                                                                                        <w:bottom w:val="single" w:sz="6" w:space="0" w:color="auto"/>
                                                                                        <w:right w:val="single" w:sz="2" w:space="0" w:color="auto"/>
                                                                                      </w:divBdr>
                                                                                      <w:divsChild>
                                                                                        <w:div w:id="826941509">
                                                                                          <w:marLeft w:val="-240"/>
                                                                                          <w:marRight w:val="-240"/>
                                                                                          <w:marTop w:val="0"/>
                                                                                          <w:marBottom w:val="0"/>
                                                                                          <w:divBdr>
                                                                                            <w:top w:val="single" w:sz="2" w:space="1" w:color="E5E7EB"/>
                                                                                            <w:left w:val="single" w:sz="2" w:space="12" w:color="E5E7EB"/>
                                                                                            <w:bottom w:val="single" w:sz="2" w:space="1" w:color="E5E7EB"/>
                                                                                            <w:right w:val="single" w:sz="2" w:space="12" w:color="E5E7EB"/>
                                                                                          </w:divBdr>
                                                                                          <w:divsChild>
                                                                                            <w:div w:id="1037312030">
                                                                                              <w:marLeft w:val="0"/>
                                                                                              <w:marRight w:val="0"/>
                                                                                              <w:marTop w:val="0"/>
                                                                                              <w:marBottom w:val="0"/>
                                                                                              <w:divBdr>
                                                                                                <w:top w:val="single" w:sz="2" w:space="0" w:color="E5E7EB"/>
                                                                                                <w:left w:val="single" w:sz="2" w:space="0" w:color="E5E7EB"/>
                                                                                                <w:bottom w:val="single" w:sz="2" w:space="0" w:color="E5E7EB"/>
                                                                                                <w:right w:val="single" w:sz="2" w:space="0" w:color="E5E7EB"/>
                                                                                              </w:divBdr>
                                                                                              <w:divsChild>
                                                                                                <w:div w:id="337117809">
                                                                                                  <w:marLeft w:val="0"/>
                                                                                                  <w:marRight w:val="0"/>
                                                                                                  <w:marTop w:val="0"/>
                                                                                                  <w:marBottom w:val="0"/>
                                                                                                  <w:divBdr>
                                                                                                    <w:top w:val="none" w:sz="0" w:space="0" w:color="auto"/>
                                                                                                    <w:left w:val="none" w:sz="0" w:space="0" w:color="auto"/>
                                                                                                    <w:bottom w:val="none" w:sz="0" w:space="0" w:color="auto"/>
                                                                                                    <w:right w:val="none" w:sz="0" w:space="0" w:color="auto"/>
                                                                                                  </w:divBdr>
                                                                                                  <w:divsChild>
                                                                                                    <w:div w:id="1929656551">
                                                                                                      <w:marLeft w:val="0"/>
                                                                                                      <w:marRight w:val="0"/>
                                                                                                      <w:marTop w:val="0"/>
                                                                                                      <w:marBottom w:val="0"/>
                                                                                                      <w:divBdr>
                                                                                                        <w:top w:val="single" w:sz="2" w:space="0" w:color="E5E7EB"/>
                                                                                                        <w:left w:val="single" w:sz="2" w:space="0" w:color="E5E7EB"/>
                                                                                                        <w:bottom w:val="single" w:sz="2" w:space="0" w:color="E5E7EB"/>
                                                                                                        <w:right w:val="single" w:sz="2" w:space="0" w:color="E5E7EB"/>
                                                                                                      </w:divBdr>
                                                                                                      <w:divsChild>
                                                                                                        <w:div w:id="1640573251">
                                                                                                          <w:marLeft w:val="0"/>
                                                                                                          <w:marRight w:val="0"/>
                                                                                                          <w:marTop w:val="0"/>
                                                                                                          <w:marBottom w:val="0"/>
                                                                                                          <w:divBdr>
                                                                                                            <w:top w:val="single" w:sz="2" w:space="0" w:color="E5E7EB"/>
                                                                                                            <w:left w:val="single" w:sz="2" w:space="0" w:color="E5E7EB"/>
                                                                                                            <w:bottom w:val="single" w:sz="2" w:space="0" w:color="E5E7EB"/>
                                                                                                            <w:right w:val="single" w:sz="2" w:space="0" w:color="E5E7EB"/>
                                                                                                          </w:divBdr>
                                                                                                          <w:divsChild>
                                                                                                            <w:div w:id="1008293873">
                                                                                                              <w:marLeft w:val="-120"/>
                                                                                                              <w:marRight w:val="-120"/>
                                                                                                              <w:marTop w:val="0"/>
                                                                                                              <w:marBottom w:val="0"/>
                                                                                                              <w:divBdr>
                                                                                                                <w:top w:val="single" w:sz="2" w:space="0" w:color="E5E7EB"/>
                                                                                                                <w:left w:val="single" w:sz="2" w:space="0" w:color="E5E7EB"/>
                                                                                                                <w:bottom w:val="single" w:sz="2" w:space="0" w:color="E5E7EB"/>
                                                                                                                <w:right w:val="single" w:sz="2" w:space="0" w:color="E5E7EB"/>
                                                                                                              </w:divBdr>
                                                                                                              <w:divsChild>
                                                                                                                <w:div w:id="1147239952">
                                                                                                                  <w:marLeft w:val="0"/>
                                                                                                                  <w:marRight w:val="0"/>
                                                                                                                  <w:marTop w:val="0"/>
                                                                                                                  <w:marBottom w:val="0"/>
                                                                                                                  <w:divBdr>
                                                                                                                    <w:top w:val="single" w:sz="2" w:space="0" w:color="E5E7EB"/>
                                                                                                                    <w:left w:val="single" w:sz="2" w:space="0" w:color="E5E7EB"/>
                                                                                                                    <w:bottom w:val="single" w:sz="2" w:space="0" w:color="E5E7EB"/>
                                                                                                                    <w:right w:val="single" w:sz="2" w:space="0" w:color="E5E7EB"/>
                                                                                                                  </w:divBdr>
                                                                                                                  <w:divsChild>
                                                                                                                    <w:div w:id="991061881">
                                                                                                                      <w:marLeft w:val="0"/>
                                                                                                                      <w:marRight w:val="0"/>
                                                                                                                      <w:marTop w:val="0"/>
                                                                                                                      <w:marBottom w:val="0"/>
                                                                                                                      <w:divBdr>
                                                                                                                        <w:top w:val="single" w:sz="2" w:space="0" w:color="E5E7EB"/>
                                                                                                                        <w:left w:val="single" w:sz="2" w:space="0" w:color="E5E7EB"/>
                                                                                                                        <w:bottom w:val="single" w:sz="2" w:space="0" w:color="E5E7EB"/>
                                                                                                                        <w:right w:val="single" w:sz="2" w:space="0" w:color="E5E7EB"/>
                                                                                                                      </w:divBdr>
                                                                                                                      <w:divsChild>
                                                                                                                        <w:div w:id="1931232396">
                                                                                                                          <w:marLeft w:val="0"/>
                                                                                                                          <w:marRight w:val="0"/>
                                                                                                                          <w:marTop w:val="0"/>
                                                                                                                          <w:marBottom w:val="0"/>
                                                                                                                          <w:divBdr>
                                                                                                                            <w:top w:val="single" w:sz="2" w:space="0" w:color="E5E7EB"/>
                                                                                                                            <w:left w:val="single" w:sz="2" w:space="0" w:color="E5E7EB"/>
                                                                                                                            <w:bottom w:val="single" w:sz="2" w:space="0" w:color="E5E7EB"/>
                                                                                                                            <w:right w:val="single" w:sz="2" w:space="0" w:color="E5E7EB"/>
                                                                                                                          </w:divBdr>
                                                                                                                          <w:divsChild>
                                                                                                                            <w:div w:id="207369885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287811877">
                                                                                                                  <w:marLeft w:val="0"/>
                                                                                                                  <w:marRight w:val="0"/>
                                                                                                                  <w:marTop w:val="0"/>
                                                                                                                  <w:marBottom w:val="0"/>
                                                                                                                  <w:divBdr>
                                                                                                                    <w:top w:val="single" w:sz="2" w:space="0" w:color="E5E7EB"/>
                                                                                                                    <w:left w:val="single" w:sz="2" w:space="0" w:color="E5E7EB"/>
                                                                                                                    <w:bottom w:val="single" w:sz="2" w:space="0" w:color="E5E7EB"/>
                                                                                                                    <w:right w:val="single" w:sz="2" w:space="0" w:color="E5E7EB"/>
                                                                                                                  </w:divBdr>
                                                                                                                  <w:divsChild>
                                                                                                                    <w:div w:id="1054934979">
                                                                                                                      <w:marLeft w:val="0"/>
                                                                                                                      <w:marRight w:val="0"/>
                                                                                                                      <w:marTop w:val="0"/>
                                                                                                                      <w:marBottom w:val="0"/>
                                                                                                                      <w:divBdr>
                                                                                                                        <w:top w:val="single" w:sz="2" w:space="0" w:color="E5E7EB"/>
                                                                                                                        <w:left w:val="single" w:sz="2" w:space="0" w:color="E5E7EB"/>
                                                                                                                        <w:bottom w:val="single" w:sz="2" w:space="0" w:color="E5E7EB"/>
                                                                                                                        <w:right w:val="single" w:sz="2" w:space="0" w:color="E5E7EB"/>
                                                                                                                      </w:divBdr>
                                                                                                                      <w:divsChild>
                                                                                                                        <w:div w:id="167753675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840393970">
                                                                                                                  <w:marLeft w:val="0"/>
                                                                                                                  <w:marRight w:val="0"/>
                                                                                                                  <w:marTop w:val="0"/>
                                                                                                                  <w:marBottom w:val="0"/>
                                                                                                                  <w:divBdr>
                                                                                                                    <w:top w:val="single" w:sz="2" w:space="0" w:color="E5E7EB"/>
                                                                                                                    <w:left w:val="single" w:sz="2" w:space="0" w:color="E5E7EB"/>
                                                                                                                    <w:bottom w:val="single" w:sz="2" w:space="0" w:color="E5E7EB"/>
                                                                                                                    <w:right w:val="single" w:sz="2" w:space="0" w:color="E5E7EB"/>
                                                                                                                  </w:divBdr>
                                                                                                                  <w:divsChild>
                                                                                                                    <w:div w:id="1452675074">
                                                                                                                      <w:marLeft w:val="0"/>
                                                                                                                      <w:marRight w:val="0"/>
                                                                                                                      <w:marTop w:val="0"/>
                                                                                                                      <w:marBottom w:val="0"/>
                                                                                                                      <w:divBdr>
                                                                                                                        <w:top w:val="single" w:sz="2" w:space="0" w:color="E5E7EB"/>
                                                                                                                        <w:left w:val="single" w:sz="2" w:space="0" w:color="E5E7EB"/>
                                                                                                                        <w:bottom w:val="single" w:sz="2" w:space="0" w:color="E5E7EB"/>
                                                                                                                        <w:right w:val="single" w:sz="2" w:space="0" w:color="E5E7EB"/>
                                                                                                                      </w:divBdr>
                                                                                                                      <w:divsChild>
                                                                                                                        <w:div w:id="195647434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 w:id="1298997638">
                                                                          <w:marLeft w:val="0"/>
                                                                          <w:marRight w:val="0"/>
                                                                          <w:marTop w:val="0"/>
                                                                          <w:marBottom w:val="0"/>
                                                                          <w:divBdr>
                                                                            <w:top w:val="single" w:sz="2" w:space="0" w:color="E5E7EB"/>
                                                                            <w:left w:val="single" w:sz="2" w:space="0" w:color="E5E7EB"/>
                                                                            <w:bottom w:val="single" w:sz="2" w:space="0" w:color="E5E7EB"/>
                                                                            <w:right w:val="single" w:sz="2" w:space="0" w:color="E5E7EB"/>
                                                                          </w:divBdr>
                                                                          <w:divsChild>
                                                                            <w:div w:id="650325451">
                                                                              <w:marLeft w:val="0"/>
                                                                              <w:marRight w:val="0"/>
                                                                              <w:marTop w:val="0"/>
                                                                              <w:marBottom w:val="0"/>
                                                                              <w:divBdr>
                                                                                <w:top w:val="single" w:sz="2" w:space="0" w:color="E5E7EB"/>
                                                                                <w:left w:val="single" w:sz="2" w:space="0" w:color="E5E7EB"/>
                                                                                <w:bottom w:val="single" w:sz="2" w:space="0" w:color="E5E7EB"/>
                                                                                <w:right w:val="single" w:sz="2" w:space="0" w:color="E5E7EB"/>
                                                                              </w:divBdr>
                                                                              <w:divsChild>
                                                                                <w:div w:id="1127429762">
                                                                                  <w:marLeft w:val="0"/>
                                                                                  <w:marRight w:val="0"/>
                                                                                  <w:marTop w:val="0"/>
                                                                                  <w:marBottom w:val="0"/>
                                                                                  <w:divBdr>
                                                                                    <w:top w:val="single" w:sz="2" w:space="0" w:color="E5E7EB"/>
                                                                                    <w:left w:val="single" w:sz="2" w:space="0" w:color="E5E7EB"/>
                                                                                    <w:bottom w:val="single" w:sz="2" w:space="0" w:color="E5E7EB"/>
                                                                                    <w:right w:val="single" w:sz="2" w:space="0" w:color="E5E7EB"/>
                                                                                  </w:divBdr>
                                                                                  <w:divsChild>
                                                                                    <w:div w:id="374816861">
                                                                                      <w:marLeft w:val="0"/>
                                                                                      <w:marRight w:val="0"/>
                                                                                      <w:marTop w:val="0"/>
                                                                                      <w:marBottom w:val="0"/>
                                                                                      <w:divBdr>
                                                                                        <w:top w:val="none" w:sz="0" w:space="0" w:color="auto"/>
                                                                                        <w:left w:val="none" w:sz="0" w:space="0" w:color="auto"/>
                                                                                        <w:bottom w:val="none" w:sz="0" w:space="0" w:color="auto"/>
                                                                                        <w:right w:val="none" w:sz="0" w:space="0" w:color="auto"/>
                                                                                      </w:divBdr>
                                                                                      <w:divsChild>
                                                                                        <w:div w:id="1050880871">
                                                                                          <w:marLeft w:val="0"/>
                                                                                          <w:marRight w:val="0"/>
                                                                                          <w:marTop w:val="0"/>
                                                                                          <w:marBottom w:val="0"/>
                                                                                          <w:divBdr>
                                                                                            <w:top w:val="single" w:sz="2" w:space="0" w:color="E5E7EB"/>
                                                                                            <w:left w:val="single" w:sz="2" w:space="0" w:color="E5E7EB"/>
                                                                                            <w:bottom w:val="single" w:sz="2" w:space="0" w:color="E5E7EB"/>
                                                                                            <w:right w:val="single" w:sz="2" w:space="0" w:color="E5E7EB"/>
                                                                                          </w:divBdr>
                                                                                          <w:divsChild>
                                                                                            <w:div w:id="1849521142">
                                                                                              <w:marLeft w:val="0"/>
                                                                                              <w:marRight w:val="0"/>
                                                                                              <w:marTop w:val="0"/>
                                                                                              <w:marBottom w:val="0"/>
                                                                                              <w:divBdr>
                                                                                                <w:top w:val="single" w:sz="2" w:space="0" w:color="E5E7EB"/>
                                                                                                <w:left w:val="single" w:sz="2" w:space="0" w:color="E5E7EB"/>
                                                                                                <w:bottom w:val="single" w:sz="2" w:space="0" w:color="E5E7EB"/>
                                                                                                <w:right w:val="single" w:sz="2" w:space="0" w:color="E5E7EB"/>
                                                                                              </w:divBdr>
                                                                                              <w:divsChild>
                                                                                                <w:div w:id="964310519">
                                                                                                  <w:marLeft w:val="0"/>
                                                                                                  <w:marRight w:val="0"/>
                                                                                                  <w:marTop w:val="0"/>
                                                                                                  <w:marBottom w:val="0"/>
                                                                                                  <w:divBdr>
                                                                                                    <w:top w:val="single" w:sz="2" w:space="0" w:color="E5E7EB"/>
                                                                                                    <w:left w:val="single" w:sz="2" w:space="0" w:color="E5E7EB"/>
                                                                                                    <w:bottom w:val="single" w:sz="2" w:space="0" w:color="E5E7EB"/>
                                                                                                    <w:right w:val="single" w:sz="2" w:space="0" w:color="E5E7EB"/>
                                                                                                  </w:divBdr>
                                                                                                  <w:divsChild>
                                                                                                    <w:div w:id="1437826215">
                                                                                                      <w:marLeft w:val="0"/>
                                                                                                      <w:marRight w:val="0"/>
                                                                                                      <w:marTop w:val="0"/>
                                                                                                      <w:marBottom w:val="0"/>
                                                                                                      <w:divBdr>
                                                                                                        <w:top w:val="single" w:sz="2" w:space="0" w:color="E5E7EB"/>
                                                                                                        <w:left w:val="single" w:sz="2" w:space="0" w:color="E5E7EB"/>
                                                                                                        <w:bottom w:val="single" w:sz="2" w:space="0" w:color="E5E7EB"/>
                                                                                                        <w:right w:val="single" w:sz="2" w:space="0" w:color="E5E7EB"/>
                                                                                                      </w:divBdr>
                                                                                                      <w:divsChild>
                                                                                                        <w:div w:id="870848853">
                                                                                                          <w:marLeft w:val="0"/>
                                                                                                          <w:marRight w:val="0"/>
                                                                                                          <w:marTop w:val="0"/>
                                                                                                          <w:marBottom w:val="0"/>
                                                                                                          <w:divBdr>
                                                                                                            <w:top w:val="single" w:sz="2" w:space="0" w:color="E5E7EB"/>
                                                                                                            <w:left w:val="single" w:sz="2" w:space="0" w:color="E5E7EB"/>
                                                                                                            <w:bottom w:val="single" w:sz="2" w:space="0" w:color="E5E7EB"/>
                                                                                                            <w:right w:val="single" w:sz="2" w:space="0" w:color="E5E7EB"/>
                                                                                                          </w:divBdr>
                                                                                                          <w:divsChild>
                                                                                                            <w:div w:id="353385284">
                                                                                                              <w:marLeft w:val="0"/>
                                                                                                              <w:marRight w:val="0"/>
                                                                                                              <w:marTop w:val="0"/>
                                                                                                              <w:marBottom w:val="0"/>
                                                                                                              <w:divBdr>
                                                                                                                <w:top w:val="single" w:sz="2" w:space="0" w:color="E5E7EB"/>
                                                                                                                <w:left w:val="single" w:sz="2" w:space="0" w:color="E5E7EB"/>
                                                                                                                <w:bottom w:val="single" w:sz="2" w:space="0" w:color="E5E7EB"/>
                                                                                                                <w:right w:val="single" w:sz="2" w:space="0" w:color="E5E7EB"/>
                                                                                                              </w:divBdr>
                                                                                                              <w:divsChild>
                                                                                                                <w:div w:id="1183318056">
                                                                                                                  <w:marLeft w:val="0"/>
                                                                                                                  <w:marRight w:val="0"/>
                                                                                                                  <w:marTop w:val="0"/>
                                                                                                                  <w:marBottom w:val="0"/>
                                                                                                                  <w:divBdr>
                                                                                                                    <w:top w:val="none" w:sz="0" w:space="0" w:color="auto"/>
                                                                                                                    <w:left w:val="none" w:sz="0" w:space="0" w:color="auto"/>
                                                                                                                    <w:bottom w:val="none" w:sz="0" w:space="0" w:color="auto"/>
                                                                                                                    <w:right w:val="none" w:sz="0" w:space="0" w:color="auto"/>
                                                                                                                  </w:divBdr>
                                                                                                                  <w:divsChild>
                                                                                                                    <w:div w:id="196550767">
                                                                                                                      <w:marLeft w:val="0"/>
                                                                                                                      <w:marRight w:val="0"/>
                                                                                                                      <w:marTop w:val="0"/>
                                                                                                                      <w:marBottom w:val="0"/>
                                                                                                                      <w:divBdr>
                                                                                                                        <w:top w:val="single" w:sz="2" w:space="6" w:color="E5E7EB"/>
                                                                                                                        <w:left w:val="single" w:sz="2" w:space="6" w:color="E5E7EB"/>
                                                                                                                        <w:bottom w:val="single" w:sz="2" w:space="6" w:color="E5E7EB"/>
                                                                                                                        <w:right w:val="single" w:sz="2" w:space="6" w:color="E5E7EB"/>
                                                                                                                      </w:divBdr>
                                                                                                                      <w:divsChild>
                                                                                                                        <w:div w:id="2145199381">
                                                                                                                          <w:marLeft w:val="0"/>
                                                                                                                          <w:marRight w:val="0"/>
                                                                                                                          <w:marTop w:val="0"/>
                                                                                                                          <w:marBottom w:val="0"/>
                                                                                                                          <w:divBdr>
                                                                                                                            <w:top w:val="single" w:sz="2" w:space="0" w:color="E5E7EB"/>
                                                                                                                            <w:left w:val="single" w:sz="2" w:space="0" w:color="E5E7EB"/>
                                                                                                                            <w:bottom w:val="single" w:sz="2" w:space="0" w:color="E5E7EB"/>
                                                                                                                            <w:right w:val="single" w:sz="2" w:space="0" w:color="E5E7EB"/>
                                                                                                                          </w:divBdr>
                                                                                                                          <w:divsChild>
                                                                                                                            <w:div w:id="341931913">
                                                                                                                              <w:marLeft w:val="0"/>
                                                                                                                              <w:marRight w:val="0"/>
                                                                                                                              <w:marTop w:val="0"/>
                                                                                                                              <w:marBottom w:val="0"/>
                                                                                                                              <w:divBdr>
                                                                                                                                <w:top w:val="single" w:sz="2" w:space="0" w:color="E5E7EB"/>
                                                                                                                                <w:left w:val="single" w:sz="2" w:space="0" w:color="E5E7EB"/>
                                                                                                                                <w:bottom w:val="single" w:sz="2" w:space="0" w:color="E5E7EB"/>
                                                                                                                                <w:right w:val="single" w:sz="2" w:space="0" w:color="E5E7EB"/>
                                                                                                                              </w:divBdr>
                                                                                                                              <w:divsChild>
                                                                                                                                <w:div w:id="1150248437">
                                                                                                                                  <w:marLeft w:val="0"/>
                                                                                                                                  <w:marRight w:val="0"/>
                                                                                                                                  <w:marTop w:val="0"/>
                                                                                                                                  <w:marBottom w:val="0"/>
                                                                                                                                  <w:divBdr>
                                                                                                                                    <w:top w:val="none" w:sz="0" w:space="0" w:color="auto"/>
                                                                                                                                    <w:left w:val="none" w:sz="0" w:space="0" w:color="auto"/>
                                                                                                                                    <w:bottom w:val="none" w:sz="0" w:space="0" w:color="auto"/>
                                                                                                                                    <w:right w:val="none" w:sz="0" w:space="0" w:color="auto"/>
                                                                                                                                  </w:divBdr>
                                                                                                                                  <w:divsChild>
                                                                                                                                    <w:div w:id="13738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14665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249582371">
                                                                                                  <w:marLeft w:val="0"/>
                                                                                                  <w:marRight w:val="0"/>
                                                                                                  <w:marTop w:val="0"/>
                                                                                                  <w:marBottom w:val="0"/>
                                                                                                  <w:divBdr>
                                                                                                    <w:top w:val="single" w:sz="2" w:space="0" w:color="E5E7EB"/>
                                                                                                    <w:left w:val="single" w:sz="2" w:space="0" w:color="E5E7EB"/>
                                                                                                    <w:bottom w:val="single" w:sz="2" w:space="0" w:color="E5E7EB"/>
                                                                                                    <w:right w:val="single" w:sz="2" w:space="0" w:color="E5E7EB"/>
                                                                                                  </w:divBdr>
                                                                                                  <w:divsChild>
                                                                                                    <w:div w:id="207689803">
                                                                                                      <w:marLeft w:val="0"/>
                                                                                                      <w:marRight w:val="0"/>
                                                                                                      <w:marTop w:val="0"/>
                                                                                                      <w:marBottom w:val="0"/>
                                                                                                      <w:divBdr>
                                                                                                        <w:top w:val="single" w:sz="2" w:space="0" w:color="E5E7EB"/>
                                                                                                        <w:left w:val="single" w:sz="2" w:space="0" w:color="E5E7EB"/>
                                                                                                        <w:bottom w:val="single" w:sz="2" w:space="0" w:color="E5E7EB"/>
                                                                                                        <w:right w:val="single" w:sz="2" w:space="0" w:color="E5E7EB"/>
                                                                                                      </w:divBdr>
                                                                                                      <w:divsChild>
                                                                                                        <w:div w:id="790436379">
                                                                                                          <w:marLeft w:val="0"/>
                                                                                                          <w:marRight w:val="0"/>
                                                                                                          <w:marTop w:val="0"/>
                                                                                                          <w:marBottom w:val="0"/>
                                                                                                          <w:divBdr>
                                                                                                            <w:top w:val="single" w:sz="2" w:space="0" w:color="E5E7EB"/>
                                                                                                            <w:left w:val="single" w:sz="2" w:space="0" w:color="E5E7EB"/>
                                                                                                            <w:bottom w:val="single" w:sz="2" w:space="0" w:color="E5E7EB"/>
                                                                                                            <w:right w:val="single" w:sz="2" w:space="0" w:color="E5E7EB"/>
                                                                                                          </w:divBdr>
                                                                                                          <w:divsChild>
                                                                                                            <w:div w:id="1513300755">
                                                                                                              <w:marLeft w:val="0"/>
                                                                                                              <w:marRight w:val="0"/>
                                                                                                              <w:marTop w:val="0"/>
                                                                                                              <w:marBottom w:val="0"/>
                                                                                                              <w:divBdr>
                                                                                                                <w:top w:val="single" w:sz="2" w:space="0" w:color="E5E7EB"/>
                                                                                                                <w:left w:val="single" w:sz="2" w:space="0" w:color="E5E7EB"/>
                                                                                                                <w:bottom w:val="single" w:sz="2" w:space="0" w:color="E5E7EB"/>
                                                                                                                <w:right w:val="single" w:sz="2" w:space="0" w:color="E5E7EB"/>
                                                                                                              </w:divBdr>
                                                                                                              <w:divsChild>
                                                                                                                <w:div w:id="2061828222">
                                                                                                                  <w:marLeft w:val="0"/>
                                                                                                                  <w:marRight w:val="0"/>
                                                                                                                  <w:marTop w:val="0"/>
                                                                                                                  <w:marBottom w:val="0"/>
                                                                                                                  <w:divBdr>
                                                                                                                    <w:top w:val="none" w:sz="0" w:space="0" w:color="auto"/>
                                                                                                                    <w:left w:val="none" w:sz="0" w:space="0" w:color="auto"/>
                                                                                                                    <w:bottom w:val="none" w:sz="0" w:space="0" w:color="auto"/>
                                                                                                                    <w:right w:val="none" w:sz="0" w:space="0" w:color="auto"/>
                                                                                                                  </w:divBdr>
                                                                                                                  <w:divsChild>
                                                                                                                    <w:div w:id="1372265474">
                                                                                                                      <w:marLeft w:val="0"/>
                                                                                                                      <w:marRight w:val="0"/>
                                                                                                                      <w:marTop w:val="0"/>
                                                                                                                      <w:marBottom w:val="0"/>
                                                                                                                      <w:divBdr>
                                                                                                                        <w:top w:val="single" w:sz="2" w:space="6" w:color="E5E7EB"/>
                                                                                                                        <w:left w:val="single" w:sz="2" w:space="6" w:color="E5E7EB"/>
                                                                                                                        <w:bottom w:val="single" w:sz="2" w:space="6" w:color="E5E7EB"/>
                                                                                                                        <w:right w:val="single" w:sz="2" w:space="6" w:color="E5E7EB"/>
                                                                                                                      </w:divBdr>
                                                                                                                      <w:divsChild>
                                                                                                                        <w:div w:id="718092684">
                                                                                                                          <w:marLeft w:val="0"/>
                                                                                                                          <w:marRight w:val="0"/>
                                                                                                                          <w:marTop w:val="0"/>
                                                                                                                          <w:marBottom w:val="0"/>
                                                                                                                          <w:divBdr>
                                                                                                                            <w:top w:val="single" w:sz="2" w:space="0" w:color="E5E7EB"/>
                                                                                                                            <w:left w:val="single" w:sz="2" w:space="0" w:color="E5E7EB"/>
                                                                                                                            <w:bottom w:val="single" w:sz="2" w:space="0" w:color="E5E7EB"/>
                                                                                                                            <w:right w:val="single" w:sz="2" w:space="0" w:color="E5E7EB"/>
                                                                                                                          </w:divBdr>
                                                                                                                          <w:divsChild>
                                                                                                                            <w:div w:id="626012808">
                                                                                                                              <w:marLeft w:val="0"/>
                                                                                                                              <w:marRight w:val="0"/>
                                                                                                                              <w:marTop w:val="0"/>
                                                                                                                              <w:marBottom w:val="0"/>
                                                                                                                              <w:divBdr>
                                                                                                                                <w:top w:val="single" w:sz="2" w:space="0" w:color="E5E7EB"/>
                                                                                                                                <w:left w:val="single" w:sz="2" w:space="0" w:color="E5E7EB"/>
                                                                                                                                <w:bottom w:val="single" w:sz="2" w:space="0" w:color="E5E7EB"/>
                                                                                                                                <w:right w:val="single" w:sz="2" w:space="0" w:color="E5E7EB"/>
                                                                                                                              </w:divBdr>
                                                                                                                              <w:divsChild>
                                                                                                                                <w:div w:id="557783002">
                                                                                                                                  <w:marLeft w:val="0"/>
                                                                                                                                  <w:marRight w:val="0"/>
                                                                                                                                  <w:marTop w:val="0"/>
                                                                                                                                  <w:marBottom w:val="0"/>
                                                                                                                                  <w:divBdr>
                                                                                                                                    <w:top w:val="none" w:sz="0" w:space="0" w:color="auto"/>
                                                                                                                                    <w:left w:val="none" w:sz="0" w:space="0" w:color="auto"/>
                                                                                                                                    <w:bottom w:val="none" w:sz="0" w:space="0" w:color="auto"/>
                                                                                                                                    <w:right w:val="none" w:sz="0" w:space="0" w:color="auto"/>
                                                                                                                                  </w:divBdr>
                                                                                                                                  <w:divsChild>
                                                                                                                                    <w:div w:id="1472402391">
                                                                                                                                      <w:marLeft w:val="0"/>
                                                                                                                                      <w:marRight w:val="0"/>
                                                                                                                                      <w:marTop w:val="0"/>
                                                                                                                                      <w:marBottom w:val="0"/>
                                                                                                                                      <w:divBdr>
                                                                                                                                        <w:top w:val="single" w:sz="2" w:space="0" w:color="E5E7EB"/>
                                                                                                                                        <w:left w:val="single" w:sz="2" w:space="0" w:color="E5E7EB"/>
                                                                                                                                        <w:bottom w:val="single" w:sz="2" w:space="0" w:color="E5E7EB"/>
                                                                                                                                        <w:right w:val="single" w:sz="2" w:space="0" w:color="E5E7EB"/>
                                                                                                                                      </w:divBdr>
                                                                                                                                      <w:divsChild>
                                                                                                                                        <w:div w:id="1635013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5284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1612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1549685173">
                                                                                                  <w:marLeft w:val="0"/>
                                                                                                  <w:marRight w:val="0"/>
                                                                                                  <w:marTop w:val="0"/>
                                                                                                  <w:marBottom w:val="0"/>
                                                                                                  <w:divBdr>
                                                                                                    <w:top w:val="single" w:sz="2" w:space="0" w:color="E5E7EB"/>
                                                                                                    <w:left w:val="single" w:sz="2" w:space="0" w:color="E5E7EB"/>
                                                                                                    <w:bottom w:val="single" w:sz="2" w:space="0" w:color="E5E7EB"/>
                                                                                                    <w:right w:val="single" w:sz="2" w:space="0" w:color="E5E7EB"/>
                                                                                                  </w:divBdr>
                                                                                                  <w:divsChild>
                                                                                                    <w:div w:id="1412511220">
                                                                                                      <w:marLeft w:val="0"/>
                                                                                                      <w:marRight w:val="0"/>
                                                                                                      <w:marTop w:val="0"/>
                                                                                                      <w:marBottom w:val="0"/>
                                                                                                      <w:divBdr>
                                                                                                        <w:top w:val="single" w:sz="2" w:space="0" w:color="E5E7EB"/>
                                                                                                        <w:left w:val="single" w:sz="2" w:space="0" w:color="E5E7EB"/>
                                                                                                        <w:bottom w:val="single" w:sz="2" w:space="0" w:color="E5E7EB"/>
                                                                                                        <w:right w:val="single" w:sz="2" w:space="0" w:color="E5E7EB"/>
                                                                                                      </w:divBdr>
                                                                                                      <w:divsChild>
                                                                                                        <w:div w:id="820535255">
                                                                                                          <w:marLeft w:val="0"/>
                                                                                                          <w:marRight w:val="0"/>
                                                                                                          <w:marTop w:val="0"/>
                                                                                                          <w:marBottom w:val="0"/>
                                                                                                          <w:divBdr>
                                                                                                            <w:top w:val="single" w:sz="2" w:space="0" w:color="E5E7EB"/>
                                                                                                            <w:left w:val="single" w:sz="2" w:space="0" w:color="E5E7EB"/>
                                                                                                            <w:bottom w:val="single" w:sz="2" w:space="0" w:color="E5E7EB"/>
                                                                                                            <w:right w:val="single" w:sz="2" w:space="0" w:color="E5E7EB"/>
                                                                                                          </w:divBdr>
                                                                                                          <w:divsChild>
                                                                                                            <w:div w:id="1661695492">
                                                                                                              <w:marLeft w:val="0"/>
                                                                                                              <w:marRight w:val="0"/>
                                                                                                              <w:marTop w:val="0"/>
                                                                                                              <w:marBottom w:val="0"/>
                                                                                                              <w:divBdr>
                                                                                                                <w:top w:val="single" w:sz="2" w:space="0" w:color="E5E7EB"/>
                                                                                                                <w:left w:val="single" w:sz="2" w:space="0" w:color="E5E7EB"/>
                                                                                                                <w:bottom w:val="single" w:sz="2" w:space="0" w:color="E5E7EB"/>
                                                                                                                <w:right w:val="single" w:sz="2" w:space="0" w:color="E5E7EB"/>
                                                                                                              </w:divBdr>
                                                                                                              <w:divsChild>
                                                                                                                <w:div w:id="788620171">
                                                                                                                  <w:marLeft w:val="0"/>
                                                                                                                  <w:marRight w:val="0"/>
                                                                                                                  <w:marTop w:val="0"/>
                                                                                                                  <w:marBottom w:val="0"/>
                                                                                                                  <w:divBdr>
                                                                                                                    <w:top w:val="none" w:sz="0" w:space="0" w:color="auto"/>
                                                                                                                    <w:left w:val="none" w:sz="0" w:space="0" w:color="auto"/>
                                                                                                                    <w:bottom w:val="none" w:sz="0" w:space="0" w:color="auto"/>
                                                                                                                    <w:right w:val="none" w:sz="0" w:space="0" w:color="auto"/>
                                                                                                                  </w:divBdr>
                                                                                                                  <w:divsChild>
                                                                                                                    <w:div w:id="1654795959">
                                                                                                                      <w:marLeft w:val="0"/>
                                                                                                                      <w:marRight w:val="0"/>
                                                                                                                      <w:marTop w:val="0"/>
                                                                                                                      <w:marBottom w:val="0"/>
                                                                                                                      <w:divBdr>
                                                                                                                        <w:top w:val="single" w:sz="2" w:space="6" w:color="E5E7EB"/>
                                                                                                                        <w:left w:val="single" w:sz="2" w:space="6" w:color="E5E7EB"/>
                                                                                                                        <w:bottom w:val="single" w:sz="2" w:space="6" w:color="E5E7EB"/>
                                                                                                                        <w:right w:val="single" w:sz="2" w:space="6" w:color="E5E7EB"/>
                                                                                                                      </w:divBdr>
                                                                                                                      <w:divsChild>
                                                                                                                        <w:div w:id="1593584773">
                                                                                                                          <w:marLeft w:val="0"/>
                                                                                                                          <w:marRight w:val="0"/>
                                                                                                                          <w:marTop w:val="0"/>
                                                                                                                          <w:marBottom w:val="0"/>
                                                                                                                          <w:divBdr>
                                                                                                                            <w:top w:val="single" w:sz="2" w:space="0" w:color="E5E7EB"/>
                                                                                                                            <w:left w:val="single" w:sz="2" w:space="0" w:color="E5E7EB"/>
                                                                                                                            <w:bottom w:val="single" w:sz="2" w:space="0" w:color="E5E7EB"/>
                                                                                                                            <w:right w:val="single" w:sz="2" w:space="0" w:color="E5E7EB"/>
                                                                                                                          </w:divBdr>
                                                                                                                          <w:divsChild>
                                                                                                                            <w:div w:id="922688486">
                                                                                                                              <w:marLeft w:val="0"/>
                                                                                                                              <w:marRight w:val="0"/>
                                                                                                                              <w:marTop w:val="0"/>
                                                                                                                              <w:marBottom w:val="0"/>
                                                                                                                              <w:divBdr>
                                                                                                                                <w:top w:val="single" w:sz="2" w:space="0" w:color="E5E7EB"/>
                                                                                                                                <w:left w:val="single" w:sz="2" w:space="0" w:color="E5E7EB"/>
                                                                                                                                <w:bottom w:val="single" w:sz="2" w:space="0" w:color="E5E7EB"/>
                                                                                                                                <w:right w:val="single" w:sz="2" w:space="0" w:color="E5E7EB"/>
                                                                                                                              </w:divBdr>
                                                                                                                              <w:divsChild>
                                                                                                                                <w:div w:id="270551640">
                                                                                                                                  <w:marLeft w:val="0"/>
                                                                                                                                  <w:marRight w:val="0"/>
                                                                                                                                  <w:marTop w:val="0"/>
                                                                                                                                  <w:marBottom w:val="0"/>
                                                                                                                                  <w:divBdr>
                                                                                                                                    <w:top w:val="none" w:sz="0" w:space="0" w:color="auto"/>
                                                                                                                                    <w:left w:val="none" w:sz="0" w:space="0" w:color="auto"/>
                                                                                                                                    <w:bottom w:val="none" w:sz="0" w:space="0" w:color="auto"/>
                                                                                                                                    <w:right w:val="none" w:sz="0" w:space="0" w:color="auto"/>
                                                                                                                                  </w:divBdr>
                                                                                                                                  <w:divsChild>
                                                                                                                                    <w:div w:id="1724134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68306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32972091">
                                                                                                  <w:marLeft w:val="0"/>
                                                                                                  <w:marRight w:val="0"/>
                                                                                                  <w:marTop w:val="0"/>
                                                                                                  <w:marBottom w:val="0"/>
                                                                                                  <w:divBdr>
                                                                                                    <w:top w:val="single" w:sz="2" w:space="0" w:color="E5E7EB"/>
                                                                                                    <w:left w:val="single" w:sz="2" w:space="0" w:color="E5E7EB"/>
                                                                                                    <w:bottom w:val="single" w:sz="2" w:space="0" w:color="E5E7EB"/>
                                                                                                    <w:right w:val="single" w:sz="2" w:space="0" w:color="E5E7EB"/>
                                                                                                  </w:divBdr>
                                                                                                  <w:divsChild>
                                                                                                    <w:div w:id="1090590204">
                                                                                                      <w:marLeft w:val="0"/>
                                                                                                      <w:marRight w:val="0"/>
                                                                                                      <w:marTop w:val="0"/>
                                                                                                      <w:marBottom w:val="0"/>
                                                                                                      <w:divBdr>
                                                                                                        <w:top w:val="single" w:sz="2" w:space="0" w:color="E5E7EB"/>
                                                                                                        <w:left w:val="single" w:sz="2" w:space="0" w:color="E5E7EB"/>
                                                                                                        <w:bottom w:val="single" w:sz="2" w:space="0" w:color="E5E7EB"/>
                                                                                                        <w:right w:val="single" w:sz="2" w:space="0" w:color="E5E7EB"/>
                                                                                                      </w:divBdr>
                                                                                                      <w:divsChild>
                                                                                                        <w:div w:id="535238035">
                                                                                                          <w:marLeft w:val="0"/>
                                                                                                          <w:marRight w:val="0"/>
                                                                                                          <w:marTop w:val="0"/>
                                                                                                          <w:marBottom w:val="0"/>
                                                                                                          <w:divBdr>
                                                                                                            <w:top w:val="single" w:sz="2" w:space="0" w:color="E5E7EB"/>
                                                                                                            <w:left w:val="single" w:sz="2" w:space="0" w:color="E5E7EB"/>
                                                                                                            <w:bottom w:val="single" w:sz="2" w:space="0" w:color="E5E7EB"/>
                                                                                                            <w:right w:val="single" w:sz="2" w:space="0" w:color="E5E7EB"/>
                                                                                                          </w:divBdr>
                                                                                                          <w:divsChild>
                                                                                                            <w:div w:id="1001546529">
                                                                                                              <w:marLeft w:val="0"/>
                                                                                                              <w:marRight w:val="0"/>
                                                                                                              <w:marTop w:val="0"/>
                                                                                                              <w:marBottom w:val="0"/>
                                                                                                              <w:divBdr>
                                                                                                                <w:top w:val="single" w:sz="2" w:space="0" w:color="E5E7EB"/>
                                                                                                                <w:left w:val="single" w:sz="2" w:space="0" w:color="E5E7EB"/>
                                                                                                                <w:bottom w:val="single" w:sz="2" w:space="0" w:color="E5E7EB"/>
                                                                                                                <w:right w:val="single" w:sz="2" w:space="0" w:color="E5E7EB"/>
                                                                                                              </w:divBdr>
                                                                                                              <w:divsChild>
                                                                                                                <w:div w:id="1034112627">
                                                                                                                  <w:marLeft w:val="0"/>
                                                                                                                  <w:marRight w:val="0"/>
                                                                                                                  <w:marTop w:val="0"/>
                                                                                                                  <w:marBottom w:val="0"/>
                                                                                                                  <w:divBdr>
                                                                                                                    <w:top w:val="none" w:sz="0" w:space="0" w:color="auto"/>
                                                                                                                    <w:left w:val="none" w:sz="0" w:space="0" w:color="auto"/>
                                                                                                                    <w:bottom w:val="none" w:sz="0" w:space="0" w:color="auto"/>
                                                                                                                    <w:right w:val="none" w:sz="0" w:space="0" w:color="auto"/>
                                                                                                                  </w:divBdr>
                                                                                                                  <w:divsChild>
                                                                                                                    <w:div w:id="434446383">
                                                                                                                      <w:marLeft w:val="0"/>
                                                                                                                      <w:marRight w:val="0"/>
                                                                                                                      <w:marTop w:val="0"/>
                                                                                                                      <w:marBottom w:val="0"/>
                                                                                                                      <w:divBdr>
                                                                                                                        <w:top w:val="single" w:sz="2" w:space="6" w:color="E5E7EB"/>
                                                                                                                        <w:left w:val="single" w:sz="2" w:space="6" w:color="E5E7EB"/>
                                                                                                                        <w:bottom w:val="single" w:sz="2" w:space="6" w:color="E5E7EB"/>
                                                                                                                        <w:right w:val="single" w:sz="2" w:space="6" w:color="E5E7EB"/>
                                                                                                                      </w:divBdr>
                                                                                                                      <w:divsChild>
                                                                                                                        <w:div w:id="1717965489">
                                                                                                                          <w:marLeft w:val="0"/>
                                                                                                                          <w:marRight w:val="0"/>
                                                                                                                          <w:marTop w:val="0"/>
                                                                                                                          <w:marBottom w:val="0"/>
                                                                                                                          <w:divBdr>
                                                                                                                            <w:top w:val="single" w:sz="2" w:space="0" w:color="E5E7EB"/>
                                                                                                                            <w:left w:val="single" w:sz="2" w:space="0" w:color="E5E7EB"/>
                                                                                                                            <w:bottom w:val="single" w:sz="2" w:space="0" w:color="E5E7EB"/>
                                                                                                                            <w:right w:val="single" w:sz="2" w:space="0" w:color="E5E7EB"/>
                                                                                                                          </w:divBdr>
                                                                                                                          <w:divsChild>
                                                                                                                            <w:div w:id="1775900262">
                                                                                                                              <w:marLeft w:val="0"/>
                                                                                                                              <w:marRight w:val="0"/>
                                                                                                                              <w:marTop w:val="0"/>
                                                                                                                              <w:marBottom w:val="0"/>
                                                                                                                              <w:divBdr>
                                                                                                                                <w:top w:val="single" w:sz="2" w:space="0" w:color="E5E7EB"/>
                                                                                                                                <w:left w:val="single" w:sz="2" w:space="0" w:color="E5E7EB"/>
                                                                                                                                <w:bottom w:val="single" w:sz="2" w:space="0" w:color="E5E7EB"/>
                                                                                                                                <w:right w:val="single" w:sz="2" w:space="0" w:color="E5E7EB"/>
                                                                                                                              </w:divBdr>
                                                                                                                              <w:divsChild>
                                                                                                                                <w:div w:id="672683113">
                                                                                                                                  <w:marLeft w:val="0"/>
                                                                                                                                  <w:marRight w:val="0"/>
                                                                                                                                  <w:marTop w:val="0"/>
                                                                                                                                  <w:marBottom w:val="0"/>
                                                                                                                                  <w:divBdr>
                                                                                                                                    <w:top w:val="none" w:sz="0" w:space="0" w:color="auto"/>
                                                                                                                                    <w:left w:val="none" w:sz="0" w:space="0" w:color="auto"/>
                                                                                                                                    <w:bottom w:val="none" w:sz="0" w:space="0" w:color="auto"/>
                                                                                                                                    <w:right w:val="none" w:sz="0" w:space="0" w:color="auto"/>
                                                                                                                                  </w:divBdr>
                                                                                                                                  <w:divsChild>
                                                                                                                                    <w:div w:id="735788271">
                                                                                                                                      <w:marLeft w:val="0"/>
                                                                                                                                      <w:marRight w:val="0"/>
                                                                                                                                      <w:marTop w:val="0"/>
                                                                                                                                      <w:marBottom w:val="0"/>
                                                                                                                                      <w:divBdr>
                                                                                                                                        <w:top w:val="single" w:sz="2" w:space="0" w:color="E5E7EB"/>
                                                                                                                                        <w:left w:val="single" w:sz="2" w:space="0" w:color="E5E7EB"/>
                                                                                                                                        <w:bottom w:val="single" w:sz="2" w:space="0" w:color="E5E7EB"/>
                                                                                                                                        <w:right w:val="single" w:sz="2" w:space="0" w:color="E5E7EB"/>
                                                                                                                                      </w:divBdr>
                                                                                                                                      <w:divsChild>
                                                                                                                                        <w:div w:id="20908040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36860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1328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 w:id="76631921">
                                                                                      <w:marLeft w:val="0"/>
                                                                                      <w:marRight w:val="0"/>
                                                                                      <w:marTop w:val="0"/>
                                                                                      <w:marBottom w:val="0"/>
                                                                                      <w:divBdr>
                                                                                        <w:top w:val="single" w:sz="2" w:space="0" w:color="E5E7EB"/>
                                                                                        <w:left w:val="single" w:sz="2" w:space="0" w:color="E5E7EB"/>
                                                                                        <w:bottom w:val="single" w:sz="2" w:space="0" w:color="E5E7EB"/>
                                                                                        <w:right w:val="single" w:sz="2" w:space="0" w:color="E5E7EB"/>
                                                                                      </w:divBdr>
                                                                                      <w:divsChild>
                                                                                        <w:div w:id="7290527">
                                                                                          <w:marLeft w:val="0"/>
                                                                                          <w:marRight w:val="0"/>
                                                                                          <w:marTop w:val="0"/>
                                                                                          <w:marBottom w:val="0"/>
                                                                                          <w:divBdr>
                                                                                            <w:top w:val="none" w:sz="0" w:space="0" w:color="auto"/>
                                                                                            <w:left w:val="none" w:sz="0" w:space="0" w:color="auto"/>
                                                                                            <w:bottom w:val="none" w:sz="0" w:space="0" w:color="auto"/>
                                                                                            <w:right w:val="none" w:sz="0" w:space="0" w:color="auto"/>
                                                                                          </w:divBdr>
                                                                                          <w:divsChild>
                                                                                            <w:div w:id="1642150392">
                                                                                              <w:marLeft w:val="0"/>
                                                                                              <w:marRight w:val="0"/>
                                                                                              <w:marTop w:val="0"/>
                                                                                              <w:marBottom w:val="0"/>
                                                                                              <w:divBdr>
                                                                                                <w:top w:val="single" w:sz="2" w:space="0" w:color="E5E7EB"/>
                                                                                                <w:left w:val="single" w:sz="2" w:space="0" w:color="E5E7EB"/>
                                                                                                <w:bottom w:val="single" w:sz="2" w:space="0" w:color="E5E7EB"/>
                                                                                                <w:right w:val="single" w:sz="2" w:space="0" w:color="E5E7EB"/>
                                                                                              </w:divBdr>
                                                                                              <w:divsChild>
                                                                                                <w:div w:id="78406860">
                                                                                                  <w:marLeft w:val="0"/>
                                                                                                  <w:marRight w:val="0"/>
                                                                                                  <w:marTop w:val="0"/>
                                                                                                  <w:marBottom w:val="0"/>
                                                                                                  <w:divBdr>
                                                                                                    <w:top w:val="single" w:sz="2" w:space="0" w:color="E5E7EB"/>
                                                                                                    <w:left w:val="single" w:sz="2" w:space="0" w:color="E5E7EB"/>
                                                                                                    <w:bottom w:val="single" w:sz="2" w:space="0" w:color="E5E7EB"/>
                                                                                                    <w:right w:val="single" w:sz="2" w:space="0" w:color="E5E7EB"/>
                                                                                                  </w:divBdr>
                                                                                                  <w:divsChild>
                                                                                                    <w:div w:id="1701543394">
                                                                                                      <w:marLeft w:val="0"/>
                                                                                                      <w:marRight w:val="0"/>
                                                                                                      <w:marTop w:val="0"/>
                                                                                                      <w:marBottom w:val="0"/>
                                                                                                      <w:divBdr>
                                                                                                        <w:top w:val="single" w:sz="2" w:space="0" w:color="E5E7EB"/>
                                                                                                        <w:left w:val="single" w:sz="2" w:space="0" w:color="E5E7EB"/>
                                                                                                        <w:bottom w:val="single" w:sz="2" w:space="0" w:color="E5E7EB"/>
                                                                                                        <w:right w:val="single" w:sz="2" w:space="0" w:color="E5E7EB"/>
                                                                                                      </w:divBdr>
                                                                                                      <w:divsChild>
                                                                                                        <w:div w:id="2114013475">
                                                                                                          <w:marLeft w:val="0"/>
                                                                                                          <w:marRight w:val="0"/>
                                                                                                          <w:marTop w:val="0"/>
                                                                                                          <w:marBottom w:val="0"/>
                                                                                                          <w:divBdr>
                                                                                                            <w:top w:val="single" w:sz="2" w:space="0" w:color="E5E7EB"/>
                                                                                                            <w:left w:val="single" w:sz="2" w:space="0" w:color="E5E7EB"/>
                                                                                                            <w:bottom w:val="single" w:sz="2" w:space="0" w:color="E5E7EB"/>
                                                                                                            <w:right w:val="single" w:sz="2" w:space="0" w:color="E5E7EB"/>
                                                                                                          </w:divBdr>
                                                                                                          <w:divsChild>
                                                                                                            <w:div w:id="607467197">
                                                                                                              <w:marLeft w:val="0"/>
                                                                                                              <w:marRight w:val="0"/>
                                                                                                              <w:marTop w:val="0"/>
                                                                                                              <w:marBottom w:val="0"/>
                                                                                                              <w:divBdr>
                                                                                                                <w:top w:val="single" w:sz="2" w:space="0" w:color="E5E7EB"/>
                                                                                                                <w:left w:val="single" w:sz="2" w:space="0" w:color="E5E7EB"/>
                                                                                                                <w:bottom w:val="single" w:sz="2" w:space="0" w:color="E5E7EB"/>
                                                                                                                <w:right w:val="single" w:sz="2" w:space="0" w:color="E5E7EB"/>
                                                                                                              </w:divBdr>
                                                                                                              <w:divsChild>
                                                                                                                <w:div w:id="812525595">
                                                                                                                  <w:marLeft w:val="0"/>
                                                                                                                  <w:marRight w:val="0"/>
                                                                                                                  <w:marTop w:val="0"/>
                                                                                                                  <w:marBottom w:val="0"/>
                                                                                                                  <w:divBdr>
                                                                                                                    <w:top w:val="single" w:sz="2" w:space="0" w:color="E5E7EB"/>
                                                                                                                    <w:left w:val="single" w:sz="2" w:space="0" w:color="E5E7EB"/>
                                                                                                                    <w:bottom w:val="single" w:sz="2" w:space="0" w:color="E5E7EB"/>
                                                                                                                    <w:right w:val="single" w:sz="2" w:space="0" w:color="E5E7EB"/>
                                                                                                                  </w:divBdr>
                                                                                                                  <w:divsChild>
                                                                                                                    <w:div w:id="1955016028">
                                                                                                                      <w:marLeft w:val="0"/>
                                                                                                                      <w:marRight w:val="0"/>
                                                                                                                      <w:marTop w:val="0"/>
                                                                                                                      <w:marBottom w:val="0"/>
                                                                                                                      <w:divBdr>
                                                                                                                        <w:top w:val="single" w:sz="2" w:space="0" w:color="E5E7EB"/>
                                                                                                                        <w:left w:val="single" w:sz="2" w:space="0" w:color="E5E7EB"/>
                                                                                                                        <w:bottom w:val="single" w:sz="2" w:space="0" w:color="E5E7EB"/>
                                                                                                                        <w:right w:val="single" w:sz="2" w:space="0" w:color="E5E7EB"/>
                                                                                                                      </w:divBdr>
                                                                                                                      <w:divsChild>
                                                                                                                        <w:div w:id="156291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3262286">
                                                                                                  <w:marLeft w:val="0"/>
                                                                                                  <w:marRight w:val="0"/>
                                                                                                  <w:marTop w:val="0"/>
                                                                                                  <w:marBottom w:val="0"/>
                                                                                                  <w:divBdr>
                                                                                                    <w:top w:val="single" w:sz="2" w:space="0" w:color="E5E7EB"/>
                                                                                                    <w:left w:val="single" w:sz="2" w:space="0" w:color="E5E7EB"/>
                                                                                                    <w:bottom w:val="single" w:sz="2" w:space="0" w:color="E5E7EB"/>
                                                                                                    <w:right w:val="single" w:sz="2" w:space="0" w:color="E5E7EB"/>
                                                                                                  </w:divBdr>
                                                                                                  <w:divsChild>
                                                                                                    <w:div w:id="1629820607">
                                                                                                      <w:marLeft w:val="-120"/>
                                                                                                      <w:marRight w:val="0"/>
                                                                                                      <w:marTop w:val="0"/>
                                                                                                      <w:marBottom w:val="0"/>
                                                                                                      <w:divBdr>
                                                                                                        <w:top w:val="single" w:sz="2" w:space="0" w:color="E5E7EB"/>
                                                                                                        <w:left w:val="single" w:sz="2" w:space="0" w:color="E5E7EB"/>
                                                                                                        <w:bottom w:val="single" w:sz="2" w:space="0" w:color="E5E7EB"/>
                                                                                                        <w:right w:val="single" w:sz="2" w:space="0" w:color="E5E7EB"/>
                                                                                                      </w:divBdr>
                                                                                                      <w:divsChild>
                                                                                                        <w:div w:id="2062824073">
                                                                                                          <w:marLeft w:val="0"/>
                                                                                                          <w:marRight w:val="0"/>
                                                                                                          <w:marTop w:val="0"/>
                                                                                                          <w:marBottom w:val="0"/>
                                                                                                          <w:divBdr>
                                                                                                            <w:top w:val="single" w:sz="2" w:space="0" w:color="E5E7EB"/>
                                                                                                            <w:left w:val="single" w:sz="2" w:space="0" w:color="E5E7EB"/>
                                                                                                            <w:bottom w:val="single" w:sz="2" w:space="0" w:color="E5E7EB"/>
                                                                                                            <w:right w:val="single" w:sz="2" w:space="0" w:color="E5E7EB"/>
                                                                                                          </w:divBdr>
                                                                                                          <w:divsChild>
                                                                                                            <w:div w:id="37717089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35805628">
                                                                                                          <w:marLeft w:val="0"/>
                                                                                                          <w:marRight w:val="0"/>
                                                                                                          <w:marTop w:val="0"/>
                                                                                                          <w:marBottom w:val="0"/>
                                                                                                          <w:divBdr>
                                                                                                            <w:top w:val="single" w:sz="2" w:space="0" w:color="E5E7EB"/>
                                                                                                            <w:left w:val="single" w:sz="2" w:space="0" w:color="E5E7EB"/>
                                                                                                            <w:bottom w:val="single" w:sz="2" w:space="0" w:color="E5E7EB"/>
                                                                                                            <w:right w:val="single" w:sz="2" w:space="0" w:color="E5E7EB"/>
                                                                                                          </w:divBdr>
                                                                                                          <w:divsChild>
                                                                                                            <w:div w:id="1833180919">
                                                                                                              <w:marLeft w:val="0"/>
                                                                                                              <w:marRight w:val="0"/>
                                                                                                              <w:marTop w:val="0"/>
                                                                                                              <w:marBottom w:val="0"/>
                                                                                                              <w:divBdr>
                                                                                                                <w:top w:val="single" w:sz="2" w:space="0" w:color="E5E7EB"/>
                                                                                                                <w:left w:val="single" w:sz="2" w:space="0" w:color="E5E7EB"/>
                                                                                                                <w:bottom w:val="single" w:sz="2" w:space="0" w:color="E5E7EB"/>
                                                                                                                <w:right w:val="single" w:sz="2" w:space="0" w:color="E5E7EB"/>
                                                                                                              </w:divBdr>
                                                                                                              <w:divsChild>
                                                                                                                <w:div w:id="133831368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714160755">
                                                                                                          <w:marLeft w:val="0"/>
                                                                                                          <w:marRight w:val="0"/>
                                                                                                          <w:marTop w:val="0"/>
                                                                                                          <w:marBottom w:val="0"/>
                                                                                                          <w:divBdr>
                                                                                                            <w:top w:val="single" w:sz="2" w:space="0" w:color="E5E7EB"/>
                                                                                                            <w:left w:val="single" w:sz="2" w:space="0" w:color="E5E7EB"/>
                                                                                                            <w:bottom w:val="single" w:sz="2" w:space="0" w:color="E5E7EB"/>
                                                                                                            <w:right w:val="single" w:sz="2" w:space="0" w:color="E5E7EB"/>
                                                                                                          </w:divBdr>
                                                                                                          <w:divsChild>
                                                                                                            <w:div w:id="1652173871">
                                                                                                              <w:marLeft w:val="0"/>
                                                                                                              <w:marRight w:val="0"/>
                                                                                                              <w:marTop w:val="0"/>
                                                                                                              <w:marBottom w:val="0"/>
                                                                                                              <w:divBdr>
                                                                                                                <w:top w:val="single" w:sz="2" w:space="0" w:color="E5E7EB"/>
                                                                                                                <w:left w:val="single" w:sz="2" w:space="0" w:color="E5E7EB"/>
                                                                                                                <w:bottom w:val="single" w:sz="2" w:space="0" w:color="E5E7EB"/>
                                                                                                                <w:right w:val="single" w:sz="2" w:space="0" w:color="E5E7EB"/>
                                                                                                              </w:divBdr>
                                                                                                              <w:divsChild>
                                                                                                                <w:div w:id="1225947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2111973068">
                                                                                          <w:marLeft w:val="0"/>
                                                                                          <w:marRight w:val="0"/>
                                                                                          <w:marTop w:val="0"/>
                                                                                          <w:marBottom w:val="0"/>
                                                                                          <w:divBdr>
                                                                                            <w:top w:val="single" w:sz="2" w:space="0" w:color="E5E7EB"/>
                                                                                            <w:left w:val="single" w:sz="2" w:space="0" w:color="E5E7EB"/>
                                                                                            <w:bottom w:val="single" w:sz="2" w:space="0" w:color="E5E7EB"/>
                                                                                            <w:right w:val="single" w:sz="2" w:space="0" w:color="E5E7EB"/>
                                                                                          </w:divBdr>
                                                                                          <w:divsChild>
                                                                                            <w:div w:id="1796294040">
                                                                                              <w:marLeft w:val="0"/>
                                                                                              <w:marRight w:val="0"/>
                                                                                              <w:marTop w:val="0"/>
                                                                                              <w:marBottom w:val="0"/>
                                                                                              <w:divBdr>
                                                                                                <w:top w:val="none" w:sz="0" w:space="0" w:color="auto"/>
                                                                                                <w:left w:val="none" w:sz="0" w:space="0" w:color="auto"/>
                                                                                                <w:bottom w:val="none" w:sz="0" w:space="0" w:color="auto"/>
                                                                                                <w:right w:val="none" w:sz="0" w:space="0" w:color="auto"/>
                                                                                              </w:divBdr>
                                                                                              <w:divsChild>
                                                                                                <w:div w:id="952594726">
                                                                                                  <w:marLeft w:val="0"/>
                                                                                                  <w:marRight w:val="0"/>
                                                                                                  <w:marTop w:val="0"/>
                                                                                                  <w:marBottom w:val="0"/>
                                                                                                  <w:divBdr>
                                                                                                    <w:top w:val="none" w:sz="0" w:space="0" w:color="auto"/>
                                                                                                    <w:left w:val="none" w:sz="0" w:space="0" w:color="auto"/>
                                                                                                    <w:bottom w:val="none" w:sz="0" w:space="0" w:color="auto"/>
                                                                                                    <w:right w:val="none" w:sz="0" w:space="0" w:color="auto"/>
                                                                                                  </w:divBdr>
                                                                                                  <w:divsChild>
                                                                                                    <w:div w:id="1781337018">
                                                                                                      <w:marLeft w:val="0"/>
                                                                                                      <w:marRight w:val="0"/>
                                                                                                      <w:marTop w:val="0"/>
                                                                                                      <w:marBottom w:val="0"/>
                                                                                                      <w:divBdr>
                                                                                                        <w:top w:val="none" w:sz="0" w:space="0" w:color="auto"/>
                                                                                                        <w:left w:val="none" w:sz="0" w:space="0" w:color="auto"/>
                                                                                                        <w:bottom w:val="none" w:sz="0" w:space="0" w:color="auto"/>
                                                                                                        <w:right w:val="none" w:sz="0" w:space="0" w:color="auto"/>
                                                                                                      </w:divBdr>
                                                                                                      <w:divsChild>
                                                                                                        <w:div w:id="1257907799">
                                                                                                          <w:marLeft w:val="0"/>
                                                                                                          <w:marRight w:val="0"/>
                                                                                                          <w:marTop w:val="0"/>
                                                                                                          <w:marBottom w:val="120"/>
                                                                                                          <w:divBdr>
                                                                                                            <w:top w:val="single" w:sz="2" w:space="0" w:color="E5E7EB"/>
                                                                                                            <w:left w:val="single" w:sz="2" w:space="0" w:color="E5E7EB"/>
                                                                                                            <w:bottom w:val="single" w:sz="2" w:space="0" w:color="E5E7EB"/>
                                                                                                            <w:right w:val="single" w:sz="2" w:space="0" w:color="E5E7EB"/>
                                                                                                          </w:divBdr>
                                                                                                          <w:divsChild>
                                                                                                            <w:div w:id="962612078">
                                                                                                              <w:marLeft w:val="0"/>
                                                                                                              <w:marRight w:val="0"/>
                                                                                                              <w:marTop w:val="0"/>
                                                                                                              <w:marBottom w:val="0"/>
                                                                                                              <w:divBdr>
                                                                                                                <w:top w:val="single" w:sz="2" w:space="0" w:color="E5E7EB"/>
                                                                                                                <w:left w:val="single" w:sz="2" w:space="0" w:color="E5E7EB"/>
                                                                                                                <w:bottom w:val="single" w:sz="2" w:space="0" w:color="E5E7EB"/>
                                                                                                                <w:right w:val="single" w:sz="2" w:space="0" w:color="E5E7EB"/>
                                                                                                              </w:divBdr>
                                                                                                              <w:divsChild>
                                                                                                                <w:div w:id="1928339456">
                                                                                                                  <w:marLeft w:val="0"/>
                                                                                                                  <w:marRight w:val="0"/>
                                                                                                                  <w:marTop w:val="0"/>
                                                                                                                  <w:marBottom w:val="0"/>
                                                                                                                  <w:divBdr>
                                                                                                                    <w:top w:val="single" w:sz="2" w:space="0" w:color="E5E7EB"/>
                                                                                                                    <w:left w:val="single" w:sz="2" w:space="0" w:color="E5E7EB"/>
                                                                                                                    <w:bottom w:val="single" w:sz="2" w:space="0" w:color="E5E7EB"/>
                                                                                                                    <w:right w:val="single" w:sz="2" w:space="0" w:color="E5E7EB"/>
                                                                                                                  </w:divBdr>
                                                                                                                  <w:divsChild>
                                                                                                                    <w:div w:id="24253751">
                                                                                                                      <w:marLeft w:val="12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49506073">
                                                                                                      <w:marLeft w:val="0"/>
                                                                                                      <w:marRight w:val="0"/>
                                                                                                      <w:marTop w:val="0"/>
                                                                                                      <w:marBottom w:val="0"/>
                                                                                                      <w:divBdr>
                                                                                                        <w:top w:val="single" w:sz="6" w:space="0" w:color="auto"/>
                                                                                                        <w:left w:val="single" w:sz="2" w:space="0" w:color="auto"/>
                                                                                                        <w:bottom w:val="single" w:sz="2" w:space="0" w:color="auto"/>
                                                                                                        <w:right w:val="single" w:sz="2" w:space="0" w:color="auto"/>
                                                                                                      </w:divBdr>
                                                                                                      <w:divsChild>
                                                                                                        <w:div w:id="1128157716">
                                                                                                          <w:marLeft w:val="0"/>
                                                                                                          <w:marRight w:val="0"/>
                                                                                                          <w:marTop w:val="0"/>
                                                                                                          <w:marBottom w:val="0"/>
                                                                                                          <w:divBdr>
                                                                                                            <w:top w:val="single" w:sz="2" w:space="6" w:color="E5E7EB"/>
                                                                                                            <w:left w:val="single" w:sz="2" w:space="0" w:color="E5E7EB"/>
                                                                                                            <w:bottom w:val="single" w:sz="2" w:space="6" w:color="E5E7EB"/>
                                                                                                            <w:right w:val="single" w:sz="2" w:space="0" w:color="E5E7EB"/>
                                                                                                          </w:divBdr>
                                                                                                          <w:divsChild>
                                                                                                            <w:div w:id="192734846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26045101">
                                                                                                          <w:marLeft w:val="0"/>
                                                                                                          <w:marRight w:val="0"/>
                                                                                                          <w:marTop w:val="0"/>
                                                                                                          <w:marBottom w:val="0"/>
                                                                                                          <w:divBdr>
                                                                                                            <w:top w:val="single" w:sz="4" w:space="6" w:color="auto"/>
                                                                                                            <w:left w:val="single" w:sz="2" w:space="0" w:color="auto"/>
                                                                                                            <w:bottom w:val="single" w:sz="2" w:space="6" w:color="auto"/>
                                                                                                            <w:right w:val="single" w:sz="2" w:space="0" w:color="auto"/>
                                                                                                          </w:divBdr>
                                                                                                          <w:divsChild>
                                                                                                            <w:div w:id="17599790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5077814">
                                                                                                          <w:marLeft w:val="0"/>
                                                                                                          <w:marRight w:val="0"/>
                                                                                                          <w:marTop w:val="0"/>
                                                                                                          <w:marBottom w:val="0"/>
                                                                                                          <w:divBdr>
                                                                                                            <w:top w:val="single" w:sz="4" w:space="6" w:color="auto"/>
                                                                                                            <w:left w:val="single" w:sz="2" w:space="0" w:color="auto"/>
                                                                                                            <w:bottom w:val="single" w:sz="2" w:space="6" w:color="auto"/>
                                                                                                            <w:right w:val="single" w:sz="2" w:space="0" w:color="auto"/>
                                                                                                          </w:divBdr>
                                                                                                          <w:divsChild>
                                                                                                            <w:div w:id="4838554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311012222">
                                                                                                          <w:marLeft w:val="0"/>
                                                                                                          <w:marRight w:val="0"/>
                                                                                                          <w:marTop w:val="0"/>
                                                                                                          <w:marBottom w:val="0"/>
                                                                                                          <w:divBdr>
                                                                                                            <w:top w:val="single" w:sz="4" w:space="6" w:color="auto"/>
                                                                                                            <w:left w:val="single" w:sz="2" w:space="0" w:color="auto"/>
                                                                                                            <w:bottom w:val="single" w:sz="2" w:space="6" w:color="auto"/>
                                                                                                            <w:right w:val="single" w:sz="2" w:space="0" w:color="auto"/>
                                                                                                          </w:divBdr>
                                                                                                          <w:divsChild>
                                                                                                            <w:div w:id="14262253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70109337">
                                                                                                          <w:marLeft w:val="0"/>
                                                                                                          <w:marRight w:val="0"/>
                                                                                                          <w:marTop w:val="0"/>
                                                                                                          <w:marBottom w:val="0"/>
                                                                                                          <w:divBdr>
                                                                                                            <w:top w:val="single" w:sz="4" w:space="6" w:color="auto"/>
                                                                                                            <w:left w:val="single" w:sz="2" w:space="0" w:color="auto"/>
                                                                                                            <w:bottom w:val="single" w:sz="2" w:space="6" w:color="auto"/>
                                                                                                            <w:right w:val="single" w:sz="2" w:space="0" w:color="auto"/>
                                                                                                          </w:divBdr>
                                                                                                          <w:divsChild>
                                                                                                            <w:div w:id="17111691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5340944">
                                      <w:marLeft w:val="0"/>
                                      <w:marRight w:val="0"/>
                                      <w:marTop w:val="0"/>
                                      <w:marBottom w:val="0"/>
                                      <w:divBdr>
                                        <w:top w:val="none" w:sz="0" w:space="0" w:color="auto"/>
                                        <w:left w:val="none" w:sz="0" w:space="0" w:color="auto"/>
                                        <w:bottom w:val="none" w:sz="0" w:space="0" w:color="auto"/>
                                        <w:right w:val="none" w:sz="0" w:space="0" w:color="auto"/>
                                      </w:divBdr>
                                      <w:divsChild>
                                        <w:div w:id="317465532">
                                          <w:marLeft w:val="0"/>
                                          <w:marRight w:val="0"/>
                                          <w:marTop w:val="0"/>
                                          <w:marBottom w:val="0"/>
                                          <w:divBdr>
                                            <w:top w:val="single" w:sz="2" w:space="0" w:color="E5E7EB"/>
                                            <w:left w:val="single" w:sz="2" w:space="24" w:color="E5E7EB"/>
                                            <w:bottom w:val="single" w:sz="2" w:space="0" w:color="E5E7EB"/>
                                            <w:right w:val="single" w:sz="2" w:space="24" w:color="E5E7EB"/>
                                          </w:divBdr>
                                          <w:divsChild>
                                            <w:div w:id="1783451751">
                                              <w:marLeft w:val="0"/>
                                              <w:marRight w:val="0"/>
                                              <w:marTop w:val="0"/>
                                              <w:marBottom w:val="0"/>
                                              <w:divBdr>
                                                <w:top w:val="single" w:sz="2" w:space="0" w:color="E5E7EB"/>
                                                <w:left w:val="single" w:sz="2" w:space="0" w:color="E5E7EB"/>
                                                <w:bottom w:val="single" w:sz="2" w:space="0" w:color="E5E7EB"/>
                                                <w:right w:val="single" w:sz="2" w:space="0" w:color="E5E7EB"/>
                                              </w:divBdr>
                                              <w:divsChild>
                                                <w:div w:id="513806587">
                                                  <w:marLeft w:val="0"/>
                                                  <w:marRight w:val="0"/>
                                                  <w:marTop w:val="0"/>
                                                  <w:marBottom w:val="0"/>
                                                  <w:divBdr>
                                                    <w:top w:val="single" w:sz="2" w:space="0" w:color="E5E7EB"/>
                                                    <w:left w:val="single" w:sz="2" w:space="0" w:color="E5E7EB"/>
                                                    <w:bottom w:val="single" w:sz="2" w:space="0" w:color="E5E7EB"/>
                                                    <w:right w:val="single" w:sz="2" w:space="0" w:color="E5E7EB"/>
                                                  </w:divBdr>
                                                  <w:divsChild>
                                                    <w:div w:id="405692640">
                                                      <w:marLeft w:val="0"/>
                                                      <w:marRight w:val="0"/>
                                                      <w:marTop w:val="0"/>
                                                      <w:marBottom w:val="0"/>
                                                      <w:divBdr>
                                                        <w:top w:val="single" w:sz="2" w:space="0" w:color="E5E7EB"/>
                                                        <w:left w:val="single" w:sz="2" w:space="0" w:color="E5E7EB"/>
                                                        <w:bottom w:val="single" w:sz="2" w:space="0" w:color="E5E7EB"/>
                                                        <w:right w:val="single" w:sz="2" w:space="0" w:color="E5E7EB"/>
                                                      </w:divBdr>
                                                      <w:divsChild>
                                                        <w:div w:id="1781678826">
                                                          <w:marLeft w:val="0"/>
                                                          <w:marRight w:val="0"/>
                                                          <w:marTop w:val="0"/>
                                                          <w:marBottom w:val="0"/>
                                                          <w:divBdr>
                                                            <w:top w:val="single" w:sz="2" w:space="0" w:color="E5E7EB"/>
                                                            <w:left w:val="single" w:sz="2" w:space="0" w:color="E5E7EB"/>
                                                            <w:bottom w:val="single" w:sz="2" w:space="0" w:color="E5E7EB"/>
                                                            <w:right w:val="single" w:sz="2" w:space="0" w:color="E5E7EB"/>
                                                          </w:divBdr>
                                                          <w:divsChild>
                                                            <w:div w:id="1828209928">
                                                              <w:marLeft w:val="0"/>
                                                              <w:marRight w:val="0"/>
                                                              <w:marTop w:val="0"/>
                                                              <w:marBottom w:val="0"/>
                                                              <w:divBdr>
                                                                <w:top w:val="single" w:sz="2" w:space="0" w:color="E5E7EB"/>
                                                                <w:left w:val="single" w:sz="2" w:space="0" w:color="E5E7EB"/>
                                                                <w:bottom w:val="single" w:sz="2" w:space="0" w:color="E5E7EB"/>
                                                                <w:right w:val="single" w:sz="2" w:space="0" w:color="E5E7EB"/>
                                                              </w:divBdr>
                                                              <w:divsChild>
                                                                <w:div w:id="593517524">
                                                                  <w:marLeft w:val="0"/>
                                                                  <w:marRight w:val="0"/>
                                                                  <w:marTop w:val="0"/>
                                                                  <w:marBottom w:val="0"/>
                                                                  <w:divBdr>
                                                                    <w:top w:val="single" w:sz="2" w:space="0" w:color="E5E7EB"/>
                                                                    <w:left w:val="single" w:sz="2" w:space="0" w:color="E5E7EB"/>
                                                                    <w:bottom w:val="single" w:sz="2" w:space="0" w:color="E5E7EB"/>
                                                                    <w:right w:val="single" w:sz="2" w:space="0" w:color="E5E7EB"/>
                                                                  </w:divBdr>
                                                                  <w:divsChild>
                                                                    <w:div w:id="1019817955">
                                                                      <w:marLeft w:val="0"/>
                                                                      <w:marRight w:val="0"/>
                                                                      <w:marTop w:val="0"/>
                                                                      <w:marBottom w:val="0"/>
                                                                      <w:divBdr>
                                                                        <w:top w:val="single" w:sz="2" w:space="0" w:color="E5E7EB"/>
                                                                        <w:left w:val="single" w:sz="2" w:space="0" w:color="E5E7EB"/>
                                                                        <w:bottom w:val="single" w:sz="2" w:space="0" w:color="E5E7EB"/>
                                                                        <w:right w:val="single" w:sz="2" w:space="0" w:color="E5E7EB"/>
                                                                      </w:divBdr>
                                                                      <w:divsChild>
                                                                        <w:div w:id="1660385687">
                                                                          <w:marLeft w:val="0"/>
                                                                          <w:marRight w:val="0"/>
                                                                          <w:marTop w:val="0"/>
                                                                          <w:marBottom w:val="0"/>
                                                                          <w:divBdr>
                                                                            <w:top w:val="none" w:sz="0" w:space="0" w:color="auto"/>
                                                                            <w:left w:val="none" w:sz="0" w:space="0" w:color="auto"/>
                                                                            <w:bottom w:val="none" w:sz="0" w:space="0" w:color="auto"/>
                                                                            <w:right w:val="none" w:sz="0" w:space="0" w:color="auto"/>
                                                                          </w:divBdr>
                                                                          <w:divsChild>
                                                                            <w:div w:id="1545828813">
                                                                              <w:marLeft w:val="0"/>
                                                                              <w:marRight w:val="0"/>
                                                                              <w:marTop w:val="0"/>
                                                                              <w:marBottom w:val="0"/>
                                                                              <w:divBdr>
                                                                                <w:top w:val="single" w:sz="2" w:space="0" w:color="E5E7EB"/>
                                                                                <w:left w:val="single" w:sz="2" w:space="0" w:color="E5E7EB"/>
                                                                                <w:bottom w:val="single" w:sz="2" w:space="0" w:color="E5E7EB"/>
                                                                                <w:right w:val="single" w:sz="2" w:space="0" w:color="E5E7EB"/>
                                                                              </w:divBdr>
                                                                              <w:divsChild>
                                                                                <w:div w:id="1523740679">
                                                                                  <w:marLeft w:val="0"/>
                                                                                  <w:marRight w:val="0"/>
                                                                                  <w:marTop w:val="0"/>
                                                                                  <w:marBottom w:val="0"/>
                                                                                  <w:divBdr>
                                                                                    <w:top w:val="single" w:sz="2" w:space="6" w:color="E5E7EB"/>
                                                                                    <w:left w:val="single" w:sz="2" w:space="6" w:color="E5E7EB"/>
                                                                                    <w:bottom w:val="single" w:sz="2" w:space="6" w:color="E5E7EB"/>
                                                                                    <w:right w:val="single" w:sz="2" w:space="6" w:color="E5E7EB"/>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3281889">
      <w:bodyDiv w:val="1"/>
      <w:marLeft w:val="0"/>
      <w:marRight w:val="0"/>
      <w:marTop w:val="0"/>
      <w:marBottom w:val="0"/>
      <w:divBdr>
        <w:top w:val="none" w:sz="0" w:space="0" w:color="auto"/>
        <w:left w:val="none" w:sz="0" w:space="0" w:color="auto"/>
        <w:bottom w:val="none" w:sz="0" w:space="0" w:color="auto"/>
        <w:right w:val="none" w:sz="0" w:space="0" w:color="auto"/>
      </w:divBdr>
    </w:div>
    <w:div w:id="436564539">
      <w:bodyDiv w:val="1"/>
      <w:marLeft w:val="0"/>
      <w:marRight w:val="0"/>
      <w:marTop w:val="0"/>
      <w:marBottom w:val="0"/>
      <w:divBdr>
        <w:top w:val="none" w:sz="0" w:space="0" w:color="auto"/>
        <w:left w:val="none" w:sz="0" w:space="0" w:color="auto"/>
        <w:bottom w:val="none" w:sz="0" w:space="0" w:color="auto"/>
        <w:right w:val="none" w:sz="0" w:space="0" w:color="auto"/>
      </w:divBdr>
    </w:div>
    <w:div w:id="538468533">
      <w:bodyDiv w:val="1"/>
      <w:marLeft w:val="0"/>
      <w:marRight w:val="0"/>
      <w:marTop w:val="0"/>
      <w:marBottom w:val="0"/>
      <w:divBdr>
        <w:top w:val="none" w:sz="0" w:space="0" w:color="auto"/>
        <w:left w:val="none" w:sz="0" w:space="0" w:color="auto"/>
        <w:bottom w:val="none" w:sz="0" w:space="0" w:color="auto"/>
        <w:right w:val="none" w:sz="0" w:space="0" w:color="auto"/>
      </w:divBdr>
    </w:div>
    <w:div w:id="677536363">
      <w:bodyDiv w:val="1"/>
      <w:marLeft w:val="0"/>
      <w:marRight w:val="0"/>
      <w:marTop w:val="0"/>
      <w:marBottom w:val="0"/>
      <w:divBdr>
        <w:top w:val="none" w:sz="0" w:space="0" w:color="auto"/>
        <w:left w:val="none" w:sz="0" w:space="0" w:color="auto"/>
        <w:bottom w:val="none" w:sz="0" w:space="0" w:color="auto"/>
        <w:right w:val="none" w:sz="0" w:space="0" w:color="auto"/>
      </w:divBdr>
    </w:div>
    <w:div w:id="680743220">
      <w:bodyDiv w:val="1"/>
      <w:marLeft w:val="0"/>
      <w:marRight w:val="0"/>
      <w:marTop w:val="0"/>
      <w:marBottom w:val="0"/>
      <w:divBdr>
        <w:top w:val="none" w:sz="0" w:space="0" w:color="auto"/>
        <w:left w:val="none" w:sz="0" w:space="0" w:color="auto"/>
        <w:bottom w:val="none" w:sz="0" w:space="0" w:color="auto"/>
        <w:right w:val="none" w:sz="0" w:space="0" w:color="auto"/>
      </w:divBdr>
    </w:div>
    <w:div w:id="696850774">
      <w:bodyDiv w:val="1"/>
      <w:marLeft w:val="0"/>
      <w:marRight w:val="0"/>
      <w:marTop w:val="0"/>
      <w:marBottom w:val="0"/>
      <w:divBdr>
        <w:top w:val="none" w:sz="0" w:space="0" w:color="auto"/>
        <w:left w:val="none" w:sz="0" w:space="0" w:color="auto"/>
        <w:bottom w:val="none" w:sz="0" w:space="0" w:color="auto"/>
        <w:right w:val="none" w:sz="0" w:space="0" w:color="auto"/>
      </w:divBdr>
      <w:divsChild>
        <w:div w:id="1498304065">
          <w:marLeft w:val="0"/>
          <w:marRight w:val="0"/>
          <w:marTop w:val="0"/>
          <w:marBottom w:val="0"/>
          <w:divBdr>
            <w:top w:val="none" w:sz="0" w:space="0" w:color="auto"/>
            <w:left w:val="none" w:sz="0" w:space="0" w:color="auto"/>
            <w:bottom w:val="none" w:sz="0" w:space="0" w:color="auto"/>
            <w:right w:val="none" w:sz="0" w:space="0" w:color="auto"/>
          </w:divBdr>
          <w:divsChild>
            <w:div w:id="992559501">
              <w:marLeft w:val="0"/>
              <w:marRight w:val="0"/>
              <w:marTop w:val="0"/>
              <w:marBottom w:val="0"/>
              <w:divBdr>
                <w:top w:val="none" w:sz="0" w:space="0" w:color="auto"/>
                <w:left w:val="none" w:sz="0" w:space="0" w:color="auto"/>
                <w:bottom w:val="none" w:sz="0" w:space="0" w:color="auto"/>
                <w:right w:val="none" w:sz="0" w:space="0" w:color="auto"/>
              </w:divBdr>
              <w:divsChild>
                <w:div w:id="737898886">
                  <w:marLeft w:val="0"/>
                  <w:marRight w:val="0"/>
                  <w:marTop w:val="0"/>
                  <w:marBottom w:val="0"/>
                  <w:divBdr>
                    <w:top w:val="none" w:sz="0" w:space="0" w:color="auto"/>
                    <w:left w:val="none" w:sz="0" w:space="0" w:color="auto"/>
                    <w:bottom w:val="none" w:sz="0" w:space="0" w:color="auto"/>
                    <w:right w:val="none" w:sz="0" w:space="0" w:color="auto"/>
                  </w:divBdr>
                  <w:divsChild>
                    <w:div w:id="656958562">
                      <w:marLeft w:val="0"/>
                      <w:marRight w:val="0"/>
                      <w:marTop w:val="0"/>
                      <w:marBottom w:val="0"/>
                      <w:divBdr>
                        <w:top w:val="none" w:sz="0" w:space="0" w:color="auto"/>
                        <w:left w:val="none" w:sz="0" w:space="0" w:color="auto"/>
                        <w:bottom w:val="none" w:sz="0" w:space="0" w:color="auto"/>
                        <w:right w:val="none" w:sz="0" w:space="0" w:color="auto"/>
                      </w:divBdr>
                      <w:divsChild>
                        <w:div w:id="388498151">
                          <w:marLeft w:val="0"/>
                          <w:marRight w:val="0"/>
                          <w:marTop w:val="0"/>
                          <w:marBottom w:val="0"/>
                          <w:divBdr>
                            <w:top w:val="none" w:sz="0" w:space="0" w:color="auto"/>
                            <w:left w:val="none" w:sz="0" w:space="0" w:color="auto"/>
                            <w:bottom w:val="none" w:sz="0" w:space="0" w:color="auto"/>
                            <w:right w:val="none" w:sz="0" w:space="0" w:color="auto"/>
                          </w:divBdr>
                          <w:divsChild>
                            <w:div w:id="1425416055">
                              <w:marLeft w:val="0"/>
                              <w:marRight w:val="0"/>
                              <w:marTop w:val="0"/>
                              <w:marBottom w:val="0"/>
                              <w:divBdr>
                                <w:top w:val="none" w:sz="0" w:space="0" w:color="auto"/>
                                <w:left w:val="none" w:sz="0" w:space="0" w:color="auto"/>
                                <w:bottom w:val="none" w:sz="0" w:space="0" w:color="auto"/>
                                <w:right w:val="none" w:sz="0" w:space="0" w:color="auto"/>
                              </w:divBdr>
                              <w:divsChild>
                                <w:div w:id="1092433876">
                                  <w:marLeft w:val="0"/>
                                  <w:marRight w:val="0"/>
                                  <w:marTop w:val="0"/>
                                  <w:marBottom w:val="0"/>
                                  <w:divBdr>
                                    <w:top w:val="none" w:sz="0" w:space="0" w:color="auto"/>
                                    <w:left w:val="none" w:sz="0" w:space="0" w:color="auto"/>
                                    <w:bottom w:val="none" w:sz="0" w:space="0" w:color="auto"/>
                                    <w:right w:val="none" w:sz="0" w:space="0" w:color="auto"/>
                                  </w:divBdr>
                                  <w:divsChild>
                                    <w:div w:id="73369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730135">
                          <w:marLeft w:val="0"/>
                          <w:marRight w:val="0"/>
                          <w:marTop w:val="0"/>
                          <w:marBottom w:val="0"/>
                          <w:divBdr>
                            <w:top w:val="none" w:sz="0" w:space="0" w:color="auto"/>
                            <w:left w:val="none" w:sz="0" w:space="0" w:color="auto"/>
                            <w:bottom w:val="none" w:sz="0" w:space="0" w:color="auto"/>
                            <w:right w:val="none" w:sz="0" w:space="0" w:color="auto"/>
                          </w:divBdr>
                          <w:divsChild>
                            <w:div w:id="1676806168">
                              <w:marLeft w:val="0"/>
                              <w:marRight w:val="0"/>
                              <w:marTop w:val="0"/>
                              <w:marBottom w:val="0"/>
                              <w:divBdr>
                                <w:top w:val="none" w:sz="0" w:space="0" w:color="auto"/>
                                <w:left w:val="none" w:sz="0" w:space="0" w:color="auto"/>
                                <w:bottom w:val="none" w:sz="0" w:space="0" w:color="auto"/>
                                <w:right w:val="none" w:sz="0" w:space="0" w:color="auto"/>
                              </w:divBdr>
                              <w:divsChild>
                                <w:div w:id="153295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72284667">
      <w:bodyDiv w:val="1"/>
      <w:marLeft w:val="0"/>
      <w:marRight w:val="0"/>
      <w:marTop w:val="0"/>
      <w:marBottom w:val="0"/>
      <w:divBdr>
        <w:top w:val="none" w:sz="0" w:space="0" w:color="auto"/>
        <w:left w:val="none" w:sz="0" w:space="0" w:color="auto"/>
        <w:bottom w:val="none" w:sz="0" w:space="0" w:color="auto"/>
        <w:right w:val="none" w:sz="0" w:space="0" w:color="auto"/>
      </w:divBdr>
    </w:div>
    <w:div w:id="891386159">
      <w:bodyDiv w:val="1"/>
      <w:marLeft w:val="0"/>
      <w:marRight w:val="0"/>
      <w:marTop w:val="0"/>
      <w:marBottom w:val="0"/>
      <w:divBdr>
        <w:top w:val="none" w:sz="0" w:space="0" w:color="auto"/>
        <w:left w:val="none" w:sz="0" w:space="0" w:color="auto"/>
        <w:bottom w:val="none" w:sz="0" w:space="0" w:color="auto"/>
        <w:right w:val="none" w:sz="0" w:space="0" w:color="auto"/>
      </w:divBdr>
    </w:div>
    <w:div w:id="1024672163">
      <w:bodyDiv w:val="1"/>
      <w:marLeft w:val="0"/>
      <w:marRight w:val="0"/>
      <w:marTop w:val="0"/>
      <w:marBottom w:val="0"/>
      <w:divBdr>
        <w:top w:val="none" w:sz="0" w:space="0" w:color="auto"/>
        <w:left w:val="none" w:sz="0" w:space="0" w:color="auto"/>
        <w:bottom w:val="none" w:sz="0" w:space="0" w:color="auto"/>
        <w:right w:val="none" w:sz="0" w:space="0" w:color="auto"/>
      </w:divBdr>
    </w:div>
    <w:div w:id="1337994499">
      <w:bodyDiv w:val="1"/>
      <w:marLeft w:val="0"/>
      <w:marRight w:val="0"/>
      <w:marTop w:val="0"/>
      <w:marBottom w:val="0"/>
      <w:divBdr>
        <w:top w:val="none" w:sz="0" w:space="0" w:color="auto"/>
        <w:left w:val="none" w:sz="0" w:space="0" w:color="auto"/>
        <w:bottom w:val="none" w:sz="0" w:space="0" w:color="auto"/>
        <w:right w:val="none" w:sz="0" w:space="0" w:color="auto"/>
      </w:divBdr>
      <w:divsChild>
        <w:div w:id="1992831608">
          <w:marLeft w:val="0"/>
          <w:marRight w:val="0"/>
          <w:marTop w:val="0"/>
          <w:marBottom w:val="0"/>
          <w:divBdr>
            <w:top w:val="none" w:sz="0" w:space="0" w:color="auto"/>
            <w:left w:val="none" w:sz="0" w:space="0" w:color="auto"/>
            <w:bottom w:val="none" w:sz="0" w:space="0" w:color="auto"/>
            <w:right w:val="none" w:sz="0" w:space="0" w:color="auto"/>
          </w:divBdr>
          <w:divsChild>
            <w:div w:id="489517450">
              <w:marLeft w:val="0"/>
              <w:marRight w:val="0"/>
              <w:marTop w:val="0"/>
              <w:marBottom w:val="0"/>
              <w:divBdr>
                <w:top w:val="single" w:sz="2" w:space="0" w:color="E5E7EB"/>
                <w:left w:val="single" w:sz="2" w:space="0" w:color="E5E7EB"/>
                <w:bottom w:val="single" w:sz="2" w:space="0" w:color="E5E7EB"/>
                <w:right w:val="single" w:sz="2" w:space="0" w:color="E5E7EB"/>
              </w:divBdr>
              <w:divsChild>
                <w:div w:id="1370104788">
                  <w:marLeft w:val="0"/>
                  <w:marRight w:val="0"/>
                  <w:marTop w:val="0"/>
                  <w:marBottom w:val="0"/>
                  <w:divBdr>
                    <w:top w:val="single" w:sz="2" w:space="6" w:color="E5E7EB"/>
                    <w:left w:val="single" w:sz="2" w:space="0" w:color="E5E7EB"/>
                    <w:bottom w:val="single" w:sz="2" w:space="6" w:color="E5E7EB"/>
                    <w:right w:val="single" w:sz="2" w:space="6" w:color="E5E7EB"/>
                  </w:divBdr>
                  <w:divsChild>
                    <w:div w:id="7953957">
                      <w:marLeft w:val="0"/>
                      <w:marRight w:val="0"/>
                      <w:marTop w:val="0"/>
                      <w:marBottom w:val="0"/>
                      <w:divBdr>
                        <w:top w:val="none" w:sz="0" w:space="0" w:color="auto"/>
                        <w:left w:val="none" w:sz="0" w:space="0" w:color="auto"/>
                        <w:bottom w:val="none" w:sz="0" w:space="0" w:color="auto"/>
                        <w:right w:val="none" w:sz="0" w:space="0" w:color="auto"/>
                      </w:divBdr>
                      <w:divsChild>
                        <w:div w:id="1864903436">
                          <w:marLeft w:val="0"/>
                          <w:marRight w:val="0"/>
                          <w:marTop w:val="0"/>
                          <w:marBottom w:val="0"/>
                          <w:divBdr>
                            <w:top w:val="single" w:sz="2" w:space="0" w:color="E5E7EB"/>
                            <w:left w:val="single" w:sz="2" w:space="0" w:color="E5E7EB"/>
                            <w:bottom w:val="single" w:sz="2" w:space="0" w:color="E5E7EB"/>
                            <w:right w:val="single" w:sz="2" w:space="0" w:color="E5E7EB"/>
                          </w:divBdr>
                          <w:divsChild>
                            <w:div w:id="1531187818">
                              <w:marLeft w:val="0"/>
                              <w:marRight w:val="0"/>
                              <w:marTop w:val="0"/>
                              <w:marBottom w:val="0"/>
                              <w:divBdr>
                                <w:top w:val="single" w:sz="2" w:space="0" w:color="E5E7EB"/>
                                <w:left w:val="single" w:sz="2" w:space="0" w:color="E5E7EB"/>
                                <w:bottom w:val="single" w:sz="2" w:space="0" w:color="E5E7EB"/>
                                <w:right w:val="single" w:sz="2" w:space="0" w:color="E5E7EB"/>
                              </w:divBdr>
                              <w:divsChild>
                                <w:div w:id="2048066666">
                                  <w:marLeft w:val="0"/>
                                  <w:marRight w:val="0"/>
                                  <w:marTop w:val="0"/>
                                  <w:marBottom w:val="0"/>
                                  <w:divBdr>
                                    <w:top w:val="single" w:sz="2" w:space="0" w:color="E5E7EB"/>
                                    <w:left w:val="single" w:sz="2" w:space="0" w:color="E5E7EB"/>
                                    <w:bottom w:val="single" w:sz="2" w:space="0" w:color="E5E7EB"/>
                                    <w:right w:val="single" w:sz="2" w:space="0" w:color="E5E7EB"/>
                                  </w:divBdr>
                                  <w:divsChild>
                                    <w:div w:id="1582716710">
                                      <w:marLeft w:val="0"/>
                                      <w:marRight w:val="0"/>
                                      <w:marTop w:val="0"/>
                                      <w:marBottom w:val="0"/>
                                      <w:divBdr>
                                        <w:top w:val="single" w:sz="2" w:space="0" w:color="E5E7EB"/>
                                        <w:left w:val="single" w:sz="2" w:space="0" w:color="E5E7EB"/>
                                        <w:bottom w:val="single" w:sz="2" w:space="31" w:color="E5E7EB"/>
                                        <w:right w:val="single" w:sz="2" w:space="0" w:color="E5E7EB"/>
                                      </w:divBdr>
                                      <w:divsChild>
                                        <w:div w:id="1183126348">
                                          <w:marLeft w:val="0"/>
                                          <w:marRight w:val="0"/>
                                          <w:marTop w:val="0"/>
                                          <w:marBottom w:val="0"/>
                                          <w:divBdr>
                                            <w:top w:val="none" w:sz="0" w:space="0" w:color="auto"/>
                                            <w:left w:val="none" w:sz="0" w:space="0" w:color="auto"/>
                                            <w:bottom w:val="none" w:sz="0" w:space="0" w:color="auto"/>
                                            <w:right w:val="none" w:sz="0" w:space="0" w:color="auto"/>
                                          </w:divBdr>
                                          <w:divsChild>
                                            <w:div w:id="256639942">
                                              <w:marLeft w:val="0"/>
                                              <w:marRight w:val="0"/>
                                              <w:marTop w:val="0"/>
                                              <w:marBottom w:val="0"/>
                                              <w:divBdr>
                                                <w:top w:val="none" w:sz="0" w:space="0" w:color="auto"/>
                                                <w:left w:val="none" w:sz="0" w:space="0" w:color="auto"/>
                                                <w:bottom w:val="none" w:sz="0" w:space="0" w:color="auto"/>
                                                <w:right w:val="none" w:sz="0" w:space="0" w:color="auto"/>
                                              </w:divBdr>
                                              <w:divsChild>
                                                <w:div w:id="1450081960">
                                                  <w:marLeft w:val="0"/>
                                                  <w:marRight w:val="0"/>
                                                  <w:marTop w:val="0"/>
                                                  <w:marBottom w:val="0"/>
                                                  <w:divBdr>
                                                    <w:top w:val="single" w:sz="2" w:space="0" w:color="E5E7EB"/>
                                                    <w:left w:val="single" w:sz="2" w:space="0" w:color="E5E7EB"/>
                                                    <w:bottom w:val="single" w:sz="2" w:space="0" w:color="E5E7EB"/>
                                                    <w:right w:val="single" w:sz="2" w:space="0" w:color="E5E7EB"/>
                                                  </w:divBdr>
                                                  <w:divsChild>
                                                    <w:div w:id="197279812">
                                                      <w:marLeft w:val="0"/>
                                                      <w:marRight w:val="0"/>
                                                      <w:marTop w:val="0"/>
                                                      <w:marBottom w:val="0"/>
                                                      <w:divBdr>
                                                        <w:top w:val="single" w:sz="2" w:space="0" w:color="E5E7EB"/>
                                                        <w:left w:val="single" w:sz="2" w:space="0" w:color="E5E7EB"/>
                                                        <w:bottom w:val="single" w:sz="2" w:space="0" w:color="E5E7EB"/>
                                                        <w:right w:val="single" w:sz="2" w:space="0" w:color="E5E7EB"/>
                                                      </w:divBdr>
                                                      <w:divsChild>
                                                        <w:div w:id="1153646436">
                                                          <w:marLeft w:val="0"/>
                                                          <w:marRight w:val="0"/>
                                                          <w:marTop w:val="0"/>
                                                          <w:marBottom w:val="0"/>
                                                          <w:divBdr>
                                                            <w:top w:val="single" w:sz="2" w:space="0" w:color="E5E7EB"/>
                                                            <w:left w:val="single" w:sz="2" w:space="0" w:color="E5E7EB"/>
                                                            <w:bottom w:val="single" w:sz="2" w:space="0" w:color="E5E7EB"/>
                                                            <w:right w:val="single" w:sz="2" w:space="0" w:color="E5E7EB"/>
                                                          </w:divBdr>
                                                          <w:divsChild>
                                                            <w:div w:id="720789949">
                                                              <w:marLeft w:val="0"/>
                                                              <w:marRight w:val="0"/>
                                                              <w:marTop w:val="0"/>
                                                              <w:marBottom w:val="0"/>
                                                              <w:divBdr>
                                                                <w:top w:val="single" w:sz="2" w:space="0" w:color="E5E7EB"/>
                                                                <w:left w:val="single" w:sz="2" w:space="0" w:color="E5E7EB"/>
                                                                <w:bottom w:val="single" w:sz="2" w:space="0" w:color="E5E7EB"/>
                                                                <w:right w:val="single" w:sz="2" w:space="0" w:color="E5E7EB"/>
                                                              </w:divBdr>
                                                              <w:divsChild>
                                                                <w:div w:id="97409391">
                                                                  <w:marLeft w:val="0"/>
                                                                  <w:marRight w:val="0"/>
                                                                  <w:marTop w:val="0"/>
                                                                  <w:marBottom w:val="0"/>
                                                                  <w:divBdr>
                                                                    <w:top w:val="none" w:sz="0" w:space="0" w:color="auto"/>
                                                                    <w:left w:val="none" w:sz="0" w:space="0" w:color="auto"/>
                                                                    <w:bottom w:val="none" w:sz="0" w:space="0" w:color="auto"/>
                                                                    <w:right w:val="none" w:sz="0" w:space="0" w:color="auto"/>
                                                                  </w:divBdr>
                                                                  <w:divsChild>
                                                                    <w:div w:id="1127163109">
                                                                      <w:marLeft w:val="0"/>
                                                                      <w:marRight w:val="0"/>
                                                                      <w:marTop w:val="0"/>
                                                                      <w:marBottom w:val="0"/>
                                                                      <w:divBdr>
                                                                        <w:top w:val="single" w:sz="2" w:space="12" w:color="E5E7EB"/>
                                                                        <w:left w:val="single" w:sz="2" w:space="24" w:color="E5E7EB"/>
                                                                        <w:bottom w:val="single" w:sz="2" w:space="0" w:color="E5E7EB"/>
                                                                        <w:right w:val="single" w:sz="2" w:space="24" w:color="E5E7EB"/>
                                                                      </w:divBdr>
                                                                      <w:divsChild>
                                                                        <w:div w:id="946735436">
                                                                          <w:marLeft w:val="0"/>
                                                                          <w:marRight w:val="0"/>
                                                                          <w:marTop w:val="0"/>
                                                                          <w:marBottom w:val="0"/>
                                                                          <w:divBdr>
                                                                            <w:top w:val="single" w:sz="2" w:space="0" w:color="auto"/>
                                                                            <w:left w:val="single" w:sz="2" w:space="0" w:color="auto"/>
                                                                            <w:bottom w:val="single" w:sz="6" w:space="24" w:color="auto"/>
                                                                            <w:right w:val="single" w:sz="2" w:space="0" w:color="auto"/>
                                                                          </w:divBdr>
                                                                          <w:divsChild>
                                                                            <w:div w:id="1523855535">
                                                                              <w:marLeft w:val="0"/>
                                                                              <w:marRight w:val="0"/>
                                                                              <w:marTop w:val="0"/>
                                                                              <w:marBottom w:val="0"/>
                                                                              <w:divBdr>
                                                                                <w:top w:val="single" w:sz="2" w:space="0" w:color="E5E7EB"/>
                                                                                <w:left w:val="single" w:sz="2" w:space="0" w:color="E5E7EB"/>
                                                                                <w:bottom w:val="single" w:sz="2" w:space="0" w:color="E5E7EB"/>
                                                                                <w:right w:val="single" w:sz="2" w:space="0" w:color="E5E7EB"/>
                                                                              </w:divBdr>
                                                                              <w:divsChild>
                                                                                <w:div w:id="318461090">
                                                                                  <w:marLeft w:val="0"/>
                                                                                  <w:marRight w:val="0"/>
                                                                                  <w:marTop w:val="0"/>
                                                                                  <w:marBottom w:val="0"/>
                                                                                  <w:divBdr>
                                                                                    <w:top w:val="single" w:sz="2" w:space="0" w:color="E5E7EB"/>
                                                                                    <w:left w:val="single" w:sz="2" w:space="0" w:color="E5E7EB"/>
                                                                                    <w:bottom w:val="single" w:sz="2" w:space="0" w:color="E5E7EB"/>
                                                                                    <w:right w:val="single" w:sz="2" w:space="0" w:color="E5E7EB"/>
                                                                                  </w:divBdr>
                                                                                  <w:divsChild>
                                                                                    <w:div w:id="1002242986">
                                                                                      <w:marLeft w:val="0"/>
                                                                                      <w:marRight w:val="0"/>
                                                                                      <w:marTop w:val="120"/>
                                                                                      <w:marBottom w:val="0"/>
                                                                                      <w:divBdr>
                                                                                        <w:top w:val="single" w:sz="2" w:space="0" w:color="E5E7EB"/>
                                                                                        <w:left w:val="single" w:sz="2" w:space="0" w:color="E5E7EB"/>
                                                                                        <w:bottom w:val="single" w:sz="2" w:space="0" w:color="E5E7EB"/>
                                                                                        <w:right w:val="single" w:sz="2" w:space="0" w:color="E5E7EB"/>
                                                                                      </w:divBdr>
                                                                                      <w:divsChild>
                                                                                        <w:div w:id="1250189296">
                                                                                          <w:marLeft w:val="0"/>
                                                                                          <w:marRight w:val="0"/>
                                                                                          <w:marTop w:val="0"/>
                                                                                          <w:marBottom w:val="0"/>
                                                                                          <w:divBdr>
                                                                                            <w:top w:val="none" w:sz="0" w:space="0" w:color="auto"/>
                                                                                            <w:left w:val="none" w:sz="0" w:space="0" w:color="auto"/>
                                                                                            <w:bottom w:val="none" w:sz="0" w:space="0" w:color="auto"/>
                                                                                            <w:right w:val="none" w:sz="0" w:space="0" w:color="auto"/>
                                                                                          </w:divBdr>
                                                                                          <w:divsChild>
                                                                                            <w:div w:id="1176653294">
                                                                                              <w:marLeft w:val="0"/>
                                                                                              <w:marRight w:val="0"/>
                                                                                              <w:marTop w:val="0"/>
                                                                                              <w:marBottom w:val="0"/>
                                                                                              <w:divBdr>
                                                                                                <w:top w:val="single" w:sz="2" w:space="0" w:color="E5E7EB"/>
                                                                                                <w:left w:val="single" w:sz="2" w:space="0" w:color="E5E7EB"/>
                                                                                                <w:bottom w:val="single" w:sz="2" w:space="0" w:color="E5E7EB"/>
                                                                                                <w:right w:val="single" w:sz="2" w:space="0" w:color="E5E7EB"/>
                                                                                              </w:divBdr>
                                                                                              <w:divsChild>
                                                                                                <w:div w:id="773981349">
                                                                                                  <w:marLeft w:val="0"/>
                                                                                                  <w:marRight w:val="0"/>
                                                                                                  <w:marTop w:val="0"/>
                                                                                                  <w:marBottom w:val="0"/>
                                                                                                  <w:divBdr>
                                                                                                    <w:top w:val="single" w:sz="2" w:space="0" w:color="E5E7EB"/>
                                                                                                    <w:left w:val="single" w:sz="2" w:space="0" w:color="E5E7EB"/>
                                                                                                    <w:bottom w:val="single" w:sz="2" w:space="0" w:color="E5E7EB"/>
                                                                                                    <w:right w:val="single" w:sz="2" w:space="0" w:color="E5E7EB"/>
                                                                                                  </w:divBdr>
                                                                                                  <w:divsChild>
                                                                                                    <w:div w:id="915820124">
                                                                                                      <w:marLeft w:val="0"/>
                                                                                                      <w:marRight w:val="0"/>
                                                                                                      <w:marTop w:val="0"/>
                                                                                                      <w:marBottom w:val="0"/>
                                                                                                      <w:divBdr>
                                                                                                        <w:top w:val="single" w:sz="2" w:space="0" w:color="E5E7EB"/>
                                                                                                        <w:left w:val="single" w:sz="2" w:space="0" w:color="E5E7EB"/>
                                                                                                        <w:bottom w:val="single" w:sz="2" w:space="0" w:color="E5E7EB"/>
                                                                                                        <w:right w:val="single" w:sz="2" w:space="0" w:color="E5E7EB"/>
                                                                                                      </w:divBdr>
                                                                                                      <w:divsChild>
                                                                                                        <w:div w:id="1947497922">
                                                                                                          <w:marLeft w:val="0"/>
                                                                                                          <w:marRight w:val="0"/>
                                                                                                          <w:marTop w:val="0"/>
                                                                                                          <w:marBottom w:val="0"/>
                                                                                                          <w:divBdr>
                                                                                                            <w:top w:val="single" w:sz="2" w:space="0" w:color="E5E7EB"/>
                                                                                                            <w:left w:val="single" w:sz="2" w:space="0" w:color="E5E7EB"/>
                                                                                                            <w:bottom w:val="single" w:sz="2" w:space="0" w:color="E5E7EB"/>
                                                                                                            <w:right w:val="single" w:sz="2" w:space="0" w:color="E5E7EB"/>
                                                                                                          </w:divBdr>
                                                                                                          <w:divsChild>
                                                                                                            <w:div w:id="394621659">
                                                                                                              <w:marLeft w:val="0"/>
                                                                                                              <w:marRight w:val="0"/>
                                                                                                              <w:marTop w:val="0"/>
                                                                                                              <w:marBottom w:val="0"/>
                                                                                                              <w:divBdr>
                                                                                                                <w:top w:val="single" w:sz="2" w:space="0" w:color="E5E7EB"/>
                                                                                                                <w:left w:val="single" w:sz="2" w:space="0" w:color="E5E7EB"/>
                                                                                                                <w:bottom w:val="single" w:sz="2" w:space="0" w:color="E5E7EB"/>
                                                                                                                <w:right w:val="single" w:sz="2" w:space="0" w:color="E5E7EB"/>
                                                                                                              </w:divBdr>
                                                                                                              <w:divsChild>
                                                                                                                <w:div w:id="1447384331">
                                                                                                                  <w:marLeft w:val="0"/>
                                                                                                                  <w:marRight w:val="0"/>
                                                                                                                  <w:marTop w:val="0"/>
                                                                                                                  <w:marBottom w:val="0"/>
                                                                                                                  <w:divBdr>
                                                                                                                    <w:top w:val="single" w:sz="2" w:space="0" w:color="E5E7EB"/>
                                                                                                                    <w:left w:val="single" w:sz="2" w:space="0" w:color="E5E7EB"/>
                                                                                                                    <w:bottom w:val="single" w:sz="2" w:space="0" w:color="E5E7EB"/>
                                                                                                                    <w:right w:val="single" w:sz="2" w:space="0" w:color="E5E7EB"/>
                                                                                                                  </w:divBdr>
                                                                                                                  <w:divsChild>
                                                                                                                    <w:div w:id="938290228">
                                                                                                                      <w:marLeft w:val="0"/>
                                                                                                                      <w:marRight w:val="0"/>
                                                                                                                      <w:marTop w:val="0"/>
                                                                                                                      <w:marBottom w:val="0"/>
                                                                                                                      <w:divBdr>
                                                                                                                        <w:top w:val="single" w:sz="2" w:space="0" w:color="E5E7EB"/>
                                                                                                                        <w:left w:val="single" w:sz="2" w:space="0" w:color="E5E7EB"/>
                                                                                                                        <w:bottom w:val="single" w:sz="2" w:space="0" w:color="E5E7EB"/>
                                                                                                                        <w:right w:val="single" w:sz="2" w:space="0" w:color="E5E7EB"/>
                                                                                                                      </w:divBdr>
                                                                                                                      <w:divsChild>
                                                                                                                        <w:div w:id="222763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4423937">
                                                                                                  <w:marLeft w:val="0"/>
                                                                                                  <w:marRight w:val="0"/>
                                                                                                  <w:marTop w:val="0"/>
                                                                                                  <w:marBottom w:val="0"/>
                                                                                                  <w:divBdr>
                                                                                                    <w:top w:val="single" w:sz="2" w:space="0" w:color="E5E7EB"/>
                                                                                                    <w:left w:val="single" w:sz="2" w:space="0" w:color="E5E7EB"/>
                                                                                                    <w:bottom w:val="single" w:sz="2" w:space="0" w:color="E5E7EB"/>
                                                                                                    <w:right w:val="single" w:sz="2" w:space="0" w:color="E5E7EB"/>
                                                                                                  </w:divBdr>
                                                                                                  <w:divsChild>
                                                                                                    <w:div w:id="279800925">
                                                                                                      <w:marLeft w:val="-120"/>
                                                                                                      <w:marRight w:val="0"/>
                                                                                                      <w:marTop w:val="0"/>
                                                                                                      <w:marBottom w:val="0"/>
                                                                                                      <w:divBdr>
                                                                                                        <w:top w:val="single" w:sz="2" w:space="0" w:color="E5E7EB"/>
                                                                                                        <w:left w:val="single" w:sz="2" w:space="0" w:color="E5E7EB"/>
                                                                                                        <w:bottom w:val="single" w:sz="2" w:space="0" w:color="E5E7EB"/>
                                                                                                        <w:right w:val="single" w:sz="2" w:space="0" w:color="E5E7EB"/>
                                                                                                      </w:divBdr>
                                                                                                      <w:divsChild>
                                                                                                        <w:div w:id="707799078">
                                                                                                          <w:marLeft w:val="0"/>
                                                                                                          <w:marRight w:val="0"/>
                                                                                                          <w:marTop w:val="0"/>
                                                                                                          <w:marBottom w:val="0"/>
                                                                                                          <w:divBdr>
                                                                                                            <w:top w:val="single" w:sz="2" w:space="0" w:color="E5E7EB"/>
                                                                                                            <w:left w:val="single" w:sz="2" w:space="0" w:color="E5E7EB"/>
                                                                                                            <w:bottom w:val="single" w:sz="2" w:space="0" w:color="E5E7EB"/>
                                                                                                            <w:right w:val="single" w:sz="2" w:space="0" w:color="E5E7EB"/>
                                                                                                          </w:divBdr>
                                                                                                          <w:divsChild>
                                                                                                            <w:div w:id="1180464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5156151">
                                                                                                          <w:marLeft w:val="0"/>
                                                                                                          <w:marRight w:val="0"/>
                                                                                                          <w:marTop w:val="0"/>
                                                                                                          <w:marBottom w:val="0"/>
                                                                                                          <w:divBdr>
                                                                                                            <w:top w:val="single" w:sz="2" w:space="0" w:color="E5E7EB"/>
                                                                                                            <w:left w:val="single" w:sz="2" w:space="0" w:color="E5E7EB"/>
                                                                                                            <w:bottom w:val="single" w:sz="2" w:space="0" w:color="E5E7EB"/>
                                                                                                            <w:right w:val="single" w:sz="2" w:space="0" w:color="E5E7EB"/>
                                                                                                          </w:divBdr>
                                                                                                          <w:divsChild>
                                                                                                            <w:div w:id="375550961">
                                                                                                              <w:marLeft w:val="0"/>
                                                                                                              <w:marRight w:val="0"/>
                                                                                                              <w:marTop w:val="0"/>
                                                                                                              <w:marBottom w:val="0"/>
                                                                                                              <w:divBdr>
                                                                                                                <w:top w:val="single" w:sz="2" w:space="0" w:color="E5E7EB"/>
                                                                                                                <w:left w:val="single" w:sz="2" w:space="0" w:color="E5E7EB"/>
                                                                                                                <w:bottom w:val="single" w:sz="2" w:space="0" w:color="E5E7EB"/>
                                                                                                                <w:right w:val="single" w:sz="2" w:space="0" w:color="E5E7EB"/>
                                                                                                              </w:divBdr>
                                                                                                              <w:divsChild>
                                                                                                                <w:div w:id="151533713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085035413">
                                                                                                          <w:marLeft w:val="0"/>
                                                                                                          <w:marRight w:val="0"/>
                                                                                                          <w:marTop w:val="0"/>
                                                                                                          <w:marBottom w:val="0"/>
                                                                                                          <w:divBdr>
                                                                                                            <w:top w:val="single" w:sz="2" w:space="0" w:color="E5E7EB"/>
                                                                                                            <w:left w:val="single" w:sz="2" w:space="0" w:color="E5E7EB"/>
                                                                                                            <w:bottom w:val="single" w:sz="2" w:space="0" w:color="E5E7EB"/>
                                                                                                            <w:right w:val="single" w:sz="2" w:space="0" w:color="E5E7EB"/>
                                                                                                          </w:divBdr>
                                                                                                          <w:divsChild>
                                                                                                            <w:div w:id="1902515997">
                                                                                                              <w:marLeft w:val="0"/>
                                                                                                              <w:marRight w:val="0"/>
                                                                                                              <w:marTop w:val="0"/>
                                                                                                              <w:marBottom w:val="0"/>
                                                                                                              <w:divBdr>
                                                                                                                <w:top w:val="single" w:sz="2" w:space="0" w:color="E5E7EB"/>
                                                                                                                <w:left w:val="single" w:sz="2" w:space="0" w:color="E5E7EB"/>
                                                                                                                <w:bottom w:val="single" w:sz="2" w:space="0" w:color="E5E7EB"/>
                                                                                                                <w:right w:val="single" w:sz="2" w:space="0" w:color="E5E7EB"/>
                                                                                                              </w:divBdr>
                                                                                                              <w:divsChild>
                                                                                                                <w:div w:id="97571950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161746923">
                                                                                          <w:marLeft w:val="0"/>
                                                                                          <w:marRight w:val="0"/>
                                                                                          <w:marTop w:val="0"/>
                                                                                          <w:marBottom w:val="0"/>
                                                                                          <w:divBdr>
                                                                                            <w:top w:val="single" w:sz="2" w:space="0" w:color="E5E7EB"/>
                                                                                            <w:left w:val="single" w:sz="2" w:space="0" w:color="E5E7EB"/>
                                                                                            <w:bottom w:val="single" w:sz="2" w:space="0" w:color="E5E7EB"/>
                                                                                            <w:right w:val="single" w:sz="2" w:space="0" w:color="E5E7EB"/>
                                                                                          </w:divBdr>
                                                                                          <w:divsChild>
                                                                                            <w:div w:id="2112436492">
                                                                                              <w:marLeft w:val="0"/>
                                                                                              <w:marRight w:val="0"/>
                                                                                              <w:marTop w:val="0"/>
                                                                                              <w:marBottom w:val="0"/>
                                                                                              <w:divBdr>
                                                                                                <w:top w:val="none" w:sz="0" w:space="0" w:color="auto"/>
                                                                                                <w:left w:val="none" w:sz="0" w:space="0" w:color="auto"/>
                                                                                                <w:bottom w:val="none" w:sz="0" w:space="0" w:color="auto"/>
                                                                                                <w:right w:val="none" w:sz="0" w:space="0" w:color="auto"/>
                                                                                              </w:divBdr>
                                                                                              <w:divsChild>
                                                                                                <w:div w:id="173230015">
                                                                                                  <w:marLeft w:val="0"/>
                                                                                                  <w:marRight w:val="0"/>
                                                                                                  <w:marTop w:val="0"/>
                                                                                                  <w:marBottom w:val="0"/>
                                                                                                  <w:divBdr>
                                                                                                    <w:top w:val="none" w:sz="0" w:space="0" w:color="auto"/>
                                                                                                    <w:left w:val="none" w:sz="0" w:space="0" w:color="auto"/>
                                                                                                    <w:bottom w:val="none" w:sz="0" w:space="0" w:color="auto"/>
                                                                                                    <w:right w:val="none" w:sz="0" w:space="0" w:color="auto"/>
                                                                                                  </w:divBdr>
                                                                                                  <w:divsChild>
                                                                                                    <w:div w:id="794562976">
                                                                                                      <w:marLeft w:val="0"/>
                                                                                                      <w:marRight w:val="0"/>
                                                                                                      <w:marTop w:val="0"/>
                                                                                                      <w:marBottom w:val="0"/>
                                                                                                      <w:divBdr>
                                                                                                        <w:top w:val="none" w:sz="0" w:space="0" w:color="auto"/>
                                                                                                        <w:left w:val="none" w:sz="0" w:space="0" w:color="auto"/>
                                                                                                        <w:bottom w:val="none" w:sz="0" w:space="0" w:color="auto"/>
                                                                                                        <w:right w:val="none" w:sz="0" w:space="0" w:color="auto"/>
                                                                                                      </w:divBdr>
                                                                                                      <w:divsChild>
                                                                                                        <w:div w:id="329451592">
                                                                                                          <w:marLeft w:val="0"/>
                                                                                                          <w:marRight w:val="0"/>
                                                                                                          <w:marTop w:val="0"/>
                                                                                                          <w:marBottom w:val="120"/>
                                                                                                          <w:divBdr>
                                                                                                            <w:top w:val="single" w:sz="2" w:space="0" w:color="E5E7EB"/>
                                                                                                            <w:left w:val="single" w:sz="2" w:space="0" w:color="E5E7EB"/>
                                                                                                            <w:bottom w:val="single" w:sz="2" w:space="0" w:color="E5E7EB"/>
                                                                                                            <w:right w:val="single" w:sz="2" w:space="0" w:color="E5E7EB"/>
                                                                                                          </w:divBdr>
                                                                                                          <w:divsChild>
                                                                                                            <w:div w:id="1378776810">
                                                                                                              <w:marLeft w:val="0"/>
                                                                                                              <w:marRight w:val="0"/>
                                                                                                              <w:marTop w:val="0"/>
                                                                                                              <w:marBottom w:val="0"/>
                                                                                                              <w:divBdr>
                                                                                                                <w:top w:val="single" w:sz="2" w:space="0" w:color="E5E7EB"/>
                                                                                                                <w:left w:val="single" w:sz="2" w:space="0" w:color="E5E7EB"/>
                                                                                                                <w:bottom w:val="single" w:sz="2" w:space="0" w:color="E5E7EB"/>
                                                                                                                <w:right w:val="single" w:sz="2" w:space="0" w:color="E5E7EB"/>
                                                                                                              </w:divBdr>
                                                                                                              <w:divsChild>
                                                                                                                <w:div w:id="1436245037">
                                                                                                                  <w:marLeft w:val="0"/>
                                                                                                                  <w:marRight w:val="0"/>
                                                                                                                  <w:marTop w:val="0"/>
                                                                                                                  <w:marBottom w:val="0"/>
                                                                                                                  <w:divBdr>
                                                                                                                    <w:top w:val="single" w:sz="2" w:space="0" w:color="E5E7EB"/>
                                                                                                                    <w:left w:val="single" w:sz="2" w:space="0" w:color="E5E7EB"/>
                                                                                                                    <w:bottom w:val="single" w:sz="2" w:space="0" w:color="E5E7EB"/>
                                                                                                                    <w:right w:val="single" w:sz="2" w:space="0" w:color="E5E7EB"/>
                                                                                                                  </w:divBdr>
                                                                                                                  <w:divsChild>
                                                                                                                    <w:div w:id="544559555">
                                                                                                                      <w:marLeft w:val="12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30007693">
                                                                                                      <w:marLeft w:val="0"/>
                                                                                                      <w:marRight w:val="0"/>
                                                                                                      <w:marTop w:val="0"/>
                                                                                                      <w:marBottom w:val="0"/>
                                                                                                      <w:divBdr>
                                                                                                        <w:top w:val="single" w:sz="6" w:space="0" w:color="auto"/>
                                                                                                        <w:left w:val="single" w:sz="2" w:space="0" w:color="auto"/>
                                                                                                        <w:bottom w:val="single" w:sz="2" w:space="0" w:color="auto"/>
                                                                                                        <w:right w:val="single" w:sz="2" w:space="0" w:color="auto"/>
                                                                                                      </w:divBdr>
                                                                                                      <w:divsChild>
                                                                                                        <w:div w:id="294145461">
                                                                                                          <w:marLeft w:val="0"/>
                                                                                                          <w:marRight w:val="0"/>
                                                                                                          <w:marTop w:val="0"/>
                                                                                                          <w:marBottom w:val="0"/>
                                                                                                          <w:divBdr>
                                                                                                            <w:top w:val="single" w:sz="2" w:space="6" w:color="E5E7EB"/>
                                                                                                            <w:left w:val="single" w:sz="2" w:space="0" w:color="E5E7EB"/>
                                                                                                            <w:bottom w:val="single" w:sz="2" w:space="6" w:color="E5E7EB"/>
                                                                                                            <w:right w:val="single" w:sz="2" w:space="0" w:color="E5E7EB"/>
                                                                                                          </w:divBdr>
                                                                                                          <w:divsChild>
                                                                                                            <w:div w:id="71862936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740127400">
                                                                                                          <w:marLeft w:val="0"/>
                                                                                                          <w:marRight w:val="0"/>
                                                                                                          <w:marTop w:val="0"/>
                                                                                                          <w:marBottom w:val="0"/>
                                                                                                          <w:divBdr>
                                                                                                            <w:top w:val="single" w:sz="4" w:space="6" w:color="auto"/>
                                                                                                            <w:left w:val="single" w:sz="2" w:space="0" w:color="auto"/>
                                                                                                            <w:bottom w:val="single" w:sz="2" w:space="6" w:color="auto"/>
                                                                                                            <w:right w:val="single" w:sz="2" w:space="0" w:color="auto"/>
                                                                                                          </w:divBdr>
                                                                                                          <w:divsChild>
                                                                                                            <w:div w:id="8023094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41079465">
                                                                                                          <w:marLeft w:val="0"/>
                                                                                                          <w:marRight w:val="0"/>
                                                                                                          <w:marTop w:val="0"/>
                                                                                                          <w:marBottom w:val="0"/>
                                                                                                          <w:divBdr>
                                                                                                            <w:top w:val="single" w:sz="4" w:space="6" w:color="auto"/>
                                                                                                            <w:left w:val="single" w:sz="2" w:space="0" w:color="auto"/>
                                                                                                            <w:bottom w:val="single" w:sz="2" w:space="6" w:color="auto"/>
                                                                                                            <w:right w:val="single" w:sz="2" w:space="0" w:color="auto"/>
                                                                                                          </w:divBdr>
                                                                                                          <w:divsChild>
                                                                                                            <w:div w:id="7251130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202523751">
                                                                                                          <w:marLeft w:val="0"/>
                                                                                                          <w:marRight w:val="0"/>
                                                                                                          <w:marTop w:val="0"/>
                                                                                                          <w:marBottom w:val="0"/>
                                                                                                          <w:divBdr>
                                                                                                            <w:top w:val="single" w:sz="4" w:space="6" w:color="auto"/>
                                                                                                            <w:left w:val="single" w:sz="2" w:space="0" w:color="auto"/>
                                                                                                            <w:bottom w:val="single" w:sz="2" w:space="6" w:color="auto"/>
                                                                                                            <w:right w:val="single" w:sz="2" w:space="0" w:color="auto"/>
                                                                                                          </w:divBdr>
                                                                                                          <w:divsChild>
                                                                                                            <w:div w:id="8889428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38911085">
                                                                                                          <w:marLeft w:val="0"/>
                                                                                                          <w:marRight w:val="0"/>
                                                                                                          <w:marTop w:val="0"/>
                                                                                                          <w:marBottom w:val="0"/>
                                                                                                          <w:divBdr>
                                                                                                            <w:top w:val="single" w:sz="4" w:space="6" w:color="auto"/>
                                                                                                            <w:left w:val="single" w:sz="2" w:space="0" w:color="auto"/>
                                                                                                            <w:bottom w:val="single" w:sz="2" w:space="6" w:color="auto"/>
                                                                                                            <w:right w:val="single" w:sz="2" w:space="0" w:color="auto"/>
                                                                                                          </w:divBdr>
                                                                                                          <w:divsChild>
                                                                                                            <w:div w:id="33438431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sChild>
                                                        </w:div>
                                                      </w:divsChild>
                                                    </w:div>
                                                    <w:div w:id="547451968">
                                                      <w:marLeft w:val="0"/>
                                                      <w:marRight w:val="0"/>
                                                      <w:marTop w:val="0"/>
                                                      <w:marBottom w:val="0"/>
                                                      <w:divBdr>
                                                        <w:top w:val="single" w:sz="2" w:space="0" w:color="E5E7EB"/>
                                                        <w:left w:val="single" w:sz="2" w:space="0" w:color="E5E7EB"/>
                                                        <w:bottom w:val="single" w:sz="2" w:space="0" w:color="E5E7EB"/>
                                                        <w:right w:val="single" w:sz="2" w:space="0" w:color="E5E7EB"/>
                                                      </w:divBdr>
                                                      <w:divsChild>
                                                        <w:div w:id="55400081">
                                                          <w:marLeft w:val="0"/>
                                                          <w:marRight w:val="0"/>
                                                          <w:marTop w:val="0"/>
                                                          <w:marBottom w:val="0"/>
                                                          <w:divBdr>
                                                            <w:top w:val="single" w:sz="2" w:space="0" w:color="E5E7EB"/>
                                                            <w:left w:val="single" w:sz="2" w:space="0" w:color="E5E7EB"/>
                                                            <w:bottom w:val="single" w:sz="2" w:space="0" w:color="E5E7EB"/>
                                                            <w:right w:val="single" w:sz="2" w:space="0" w:color="E5E7EB"/>
                                                          </w:divBdr>
                                                          <w:divsChild>
                                                            <w:div w:id="329796306">
                                                              <w:marLeft w:val="0"/>
                                                              <w:marRight w:val="0"/>
                                                              <w:marTop w:val="0"/>
                                                              <w:marBottom w:val="0"/>
                                                              <w:divBdr>
                                                                <w:top w:val="single" w:sz="2" w:space="0" w:color="E5E7EB"/>
                                                                <w:left w:val="single" w:sz="2" w:space="0" w:color="E5E7EB"/>
                                                                <w:bottom w:val="single" w:sz="2" w:space="0" w:color="E5E7EB"/>
                                                                <w:right w:val="single" w:sz="2" w:space="0" w:color="E5E7EB"/>
                                                              </w:divBdr>
                                                              <w:divsChild>
                                                                <w:div w:id="1507749809">
                                                                  <w:marLeft w:val="0"/>
                                                                  <w:marRight w:val="0"/>
                                                                  <w:marTop w:val="0"/>
                                                                  <w:marBottom w:val="0"/>
                                                                  <w:divBdr>
                                                                    <w:top w:val="none" w:sz="0" w:space="0" w:color="auto"/>
                                                                    <w:left w:val="none" w:sz="0" w:space="0" w:color="auto"/>
                                                                    <w:bottom w:val="none" w:sz="0" w:space="0" w:color="auto"/>
                                                                    <w:right w:val="none" w:sz="0" w:space="0" w:color="auto"/>
                                                                  </w:divBdr>
                                                                  <w:divsChild>
                                                                    <w:div w:id="1571312321">
                                                                      <w:marLeft w:val="0"/>
                                                                      <w:marRight w:val="0"/>
                                                                      <w:marTop w:val="0"/>
                                                                      <w:marBottom w:val="0"/>
                                                                      <w:divBdr>
                                                                        <w:top w:val="single" w:sz="2" w:space="12" w:color="E5E7EB"/>
                                                                        <w:left w:val="single" w:sz="2" w:space="24" w:color="E5E7EB"/>
                                                                        <w:bottom w:val="single" w:sz="2" w:space="0" w:color="E5E7EB"/>
                                                                        <w:right w:val="single" w:sz="2" w:space="24" w:color="E5E7EB"/>
                                                                      </w:divBdr>
                                                                      <w:divsChild>
                                                                        <w:div w:id="985932431">
                                                                          <w:marLeft w:val="0"/>
                                                                          <w:marRight w:val="0"/>
                                                                          <w:marTop w:val="0"/>
                                                                          <w:marBottom w:val="0"/>
                                                                          <w:divBdr>
                                                                            <w:top w:val="single" w:sz="2" w:space="0" w:color="E5E7EB"/>
                                                                            <w:left w:val="single" w:sz="2" w:space="0" w:color="E5E7EB"/>
                                                                            <w:bottom w:val="single" w:sz="2" w:space="0" w:color="E5E7EB"/>
                                                                            <w:right w:val="single" w:sz="2" w:space="0" w:color="E5E7EB"/>
                                                                          </w:divBdr>
                                                                          <w:divsChild>
                                                                            <w:div w:id="1548181532">
                                                                              <w:marLeft w:val="0"/>
                                                                              <w:marRight w:val="0"/>
                                                                              <w:marTop w:val="0"/>
                                                                              <w:marBottom w:val="0"/>
                                                                              <w:divBdr>
                                                                                <w:top w:val="single" w:sz="2" w:space="0" w:color="E5E7EB"/>
                                                                                <w:left w:val="single" w:sz="2" w:space="0" w:color="E5E7EB"/>
                                                                                <w:bottom w:val="single" w:sz="2" w:space="0" w:color="E5E7EB"/>
                                                                                <w:right w:val="single" w:sz="2" w:space="0" w:color="E5E7EB"/>
                                                                              </w:divBdr>
                                                                              <w:divsChild>
                                                                                <w:div w:id="241985229">
                                                                                  <w:marLeft w:val="0"/>
                                                                                  <w:marRight w:val="0"/>
                                                                                  <w:marTop w:val="0"/>
                                                                                  <w:marBottom w:val="0"/>
                                                                                  <w:divBdr>
                                                                                    <w:top w:val="single" w:sz="2" w:space="0" w:color="E5E7EB"/>
                                                                                    <w:left w:val="single" w:sz="2" w:space="0" w:color="E5E7EB"/>
                                                                                    <w:bottom w:val="single" w:sz="2" w:space="0" w:color="E5E7EB"/>
                                                                                    <w:right w:val="single" w:sz="2" w:space="0" w:color="E5E7EB"/>
                                                                                  </w:divBdr>
                                                                                  <w:divsChild>
                                                                                    <w:div w:id="208953027">
                                                                                      <w:marLeft w:val="0"/>
                                                                                      <w:marRight w:val="0"/>
                                                                                      <w:marTop w:val="0"/>
                                                                                      <w:marBottom w:val="120"/>
                                                                                      <w:divBdr>
                                                                                        <w:top w:val="single" w:sz="2" w:space="24" w:color="E5E7EB"/>
                                                                                        <w:left w:val="single" w:sz="2" w:space="0" w:color="E5E7EB"/>
                                                                                        <w:bottom w:val="single" w:sz="2" w:space="0" w:color="E5E7EB"/>
                                                                                        <w:right w:val="single" w:sz="2" w:space="0" w:color="E5E7EB"/>
                                                                                      </w:divBdr>
                                                                                      <w:divsChild>
                                                                                        <w:div w:id="274406102">
                                                                                          <w:marLeft w:val="0"/>
                                                                                          <w:marRight w:val="720"/>
                                                                                          <w:marTop w:val="0"/>
                                                                                          <w:marBottom w:val="0"/>
                                                                                          <w:divBdr>
                                                                                            <w:top w:val="single" w:sz="2" w:space="0" w:color="E5E7EB"/>
                                                                                            <w:left w:val="single" w:sz="2" w:space="0" w:color="E5E7EB"/>
                                                                                            <w:bottom w:val="single" w:sz="2" w:space="0" w:color="E5E7EB"/>
                                                                                            <w:right w:val="single" w:sz="2" w:space="0" w:color="E5E7EB"/>
                                                                                          </w:divBdr>
                                                                                          <w:divsChild>
                                                                                            <w:div w:id="591163534">
                                                                                              <w:marLeft w:val="0"/>
                                                                                              <w:marRight w:val="0"/>
                                                                                              <w:marTop w:val="0"/>
                                                                                              <w:marBottom w:val="0"/>
                                                                                              <w:divBdr>
                                                                                                <w:top w:val="single" w:sz="2" w:space="0" w:color="E5E7EB"/>
                                                                                                <w:left w:val="single" w:sz="2" w:space="0" w:color="E5E7EB"/>
                                                                                                <w:bottom w:val="single" w:sz="2" w:space="0" w:color="E5E7EB"/>
                                                                                                <w:right w:val="single" w:sz="2" w:space="0" w:color="E5E7EB"/>
                                                                                              </w:divBdr>
                                                                                              <w:divsChild>
                                                                                                <w:div w:id="1223366485">
                                                                                                  <w:marLeft w:val="0"/>
                                                                                                  <w:marRight w:val="0"/>
                                                                                                  <w:marTop w:val="0"/>
                                                                                                  <w:marBottom w:val="0"/>
                                                                                                  <w:divBdr>
                                                                                                    <w:top w:val="single" w:sz="2" w:space="0" w:color="E5E7EB"/>
                                                                                                    <w:left w:val="single" w:sz="2" w:space="0" w:color="E5E7EB"/>
                                                                                                    <w:bottom w:val="single" w:sz="2" w:space="0" w:color="E5E7EB"/>
                                                                                                    <w:right w:val="single" w:sz="2" w:space="0" w:color="E5E7EB"/>
                                                                                                  </w:divBdr>
                                                                                                  <w:divsChild>
                                                                                                    <w:div w:id="203680655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1078791763">
                                                                          <w:marLeft w:val="-240"/>
                                                                          <w:marRight w:val="-240"/>
                                                                          <w:marTop w:val="0"/>
                                                                          <w:marBottom w:val="240"/>
                                                                          <w:divBdr>
                                                                            <w:top w:val="single" w:sz="2" w:space="0" w:color="E5E7EB"/>
                                                                            <w:left w:val="single" w:sz="2" w:space="12" w:color="E5E7EB"/>
                                                                            <w:bottom w:val="single" w:sz="2" w:space="0" w:color="E5E7EB"/>
                                                                            <w:right w:val="single" w:sz="2" w:space="12" w:color="E5E7EB"/>
                                                                          </w:divBdr>
                                                                          <w:divsChild>
                                                                            <w:div w:id="1659386205">
                                                                              <w:marLeft w:val="0"/>
                                                                              <w:marRight w:val="0"/>
                                                                              <w:marTop w:val="0"/>
                                                                              <w:marBottom w:val="0"/>
                                                                              <w:divBdr>
                                                                                <w:top w:val="single" w:sz="2" w:space="0" w:color="E5E7EB"/>
                                                                                <w:left w:val="single" w:sz="2" w:space="0" w:color="E5E7EB"/>
                                                                                <w:bottom w:val="single" w:sz="2" w:space="0" w:color="E5E7EB"/>
                                                                                <w:right w:val="single" w:sz="2" w:space="0" w:color="E5E7EB"/>
                                                                              </w:divBdr>
                                                                              <w:divsChild>
                                                                                <w:div w:id="1723476877">
                                                                                  <w:marLeft w:val="0"/>
                                                                                  <w:marRight w:val="0"/>
                                                                                  <w:marTop w:val="0"/>
                                                                                  <w:marBottom w:val="0"/>
                                                                                  <w:divBdr>
                                                                                    <w:top w:val="single" w:sz="2" w:space="0" w:color="E5E7EB"/>
                                                                                    <w:left w:val="single" w:sz="2" w:space="0" w:color="E5E7EB"/>
                                                                                    <w:bottom w:val="single" w:sz="2" w:space="0" w:color="E5E7EB"/>
                                                                                    <w:right w:val="single" w:sz="2" w:space="0" w:color="E5E7EB"/>
                                                                                  </w:divBdr>
                                                                                  <w:divsChild>
                                                                                    <w:div w:id="815684874">
                                                                                      <w:marLeft w:val="0"/>
                                                                                      <w:marRight w:val="0"/>
                                                                                      <w:marTop w:val="0"/>
                                                                                      <w:marBottom w:val="0"/>
                                                                                      <w:divBdr>
                                                                                        <w:top w:val="single" w:sz="2" w:space="0" w:color="E5E7EB"/>
                                                                                        <w:left w:val="single" w:sz="2" w:space="0" w:color="E5E7EB"/>
                                                                                        <w:bottom w:val="single" w:sz="2" w:space="0" w:color="E5E7EB"/>
                                                                                        <w:right w:val="single" w:sz="2" w:space="0" w:color="E5E7EB"/>
                                                                                      </w:divBdr>
                                                                                      <w:divsChild>
                                                                                        <w:div w:id="13125189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47274674">
                                                                                      <w:marLeft w:val="0"/>
                                                                                      <w:marRight w:val="0"/>
                                                                                      <w:marTop w:val="0"/>
                                                                                      <w:marBottom w:val="0"/>
                                                                                      <w:divBdr>
                                                                                        <w:top w:val="single" w:sz="2" w:space="0" w:color="auto"/>
                                                                                        <w:left w:val="single" w:sz="2" w:space="0" w:color="auto"/>
                                                                                        <w:bottom w:val="single" w:sz="6" w:space="0" w:color="auto"/>
                                                                                        <w:right w:val="single" w:sz="2" w:space="0" w:color="auto"/>
                                                                                      </w:divBdr>
                                                                                      <w:divsChild>
                                                                                        <w:div w:id="759370906">
                                                                                          <w:marLeft w:val="-240"/>
                                                                                          <w:marRight w:val="-240"/>
                                                                                          <w:marTop w:val="0"/>
                                                                                          <w:marBottom w:val="0"/>
                                                                                          <w:divBdr>
                                                                                            <w:top w:val="single" w:sz="2" w:space="1" w:color="E5E7EB"/>
                                                                                            <w:left w:val="single" w:sz="2" w:space="12" w:color="E5E7EB"/>
                                                                                            <w:bottom w:val="single" w:sz="2" w:space="1" w:color="E5E7EB"/>
                                                                                            <w:right w:val="single" w:sz="2" w:space="12" w:color="E5E7EB"/>
                                                                                          </w:divBdr>
                                                                                          <w:divsChild>
                                                                                            <w:div w:id="940067936">
                                                                                              <w:marLeft w:val="0"/>
                                                                                              <w:marRight w:val="0"/>
                                                                                              <w:marTop w:val="0"/>
                                                                                              <w:marBottom w:val="0"/>
                                                                                              <w:divBdr>
                                                                                                <w:top w:val="single" w:sz="2" w:space="0" w:color="E5E7EB"/>
                                                                                                <w:left w:val="single" w:sz="2" w:space="0" w:color="E5E7EB"/>
                                                                                                <w:bottom w:val="single" w:sz="2" w:space="0" w:color="E5E7EB"/>
                                                                                                <w:right w:val="single" w:sz="2" w:space="0" w:color="E5E7EB"/>
                                                                                              </w:divBdr>
                                                                                              <w:divsChild>
                                                                                                <w:div w:id="657617476">
                                                                                                  <w:marLeft w:val="0"/>
                                                                                                  <w:marRight w:val="0"/>
                                                                                                  <w:marTop w:val="0"/>
                                                                                                  <w:marBottom w:val="0"/>
                                                                                                  <w:divBdr>
                                                                                                    <w:top w:val="none" w:sz="0" w:space="0" w:color="auto"/>
                                                                                                    <w:left w:val="none" w:sz="0" w:space="0" w:color="auto"/>
                                                                                                    <w:bottom w:val="none" w:sz="0" w:space="0" w:color="auto"/>
                                                                                                    <w:right w:val="none" w:sz="0" w:space="0" w:color="auto"/>
                                                                                                  </w:divBdr>
                                                                                                  <w:divsChild>
                                                                                                    <w:div w:id="1786730783">
                                                                                                      <w:marLeft w:val="0"/>
                                                                                                      <w:marRight w:val="0"/>
                                                                                                      <w:marTop w:val="0"/>
                                                                                                      <w:marBottom w:val="0"/>
                                                                                                      <w:divBdr>
                                                                                                        <w:top w:val="single" w:sz="2" w:space="0" w:color="E5E7EB"/>
                                                                                                        <w:left w:val="single" w:sz="2" w:space="0" w:color="E5E7EB"/>
                                                                                                        <w:bottom w:val="single" w:sz="2" w:space="0" w:color="E5E7EB"/>
                                                                                                        <w:right w:val="single" w:sz="2" w:space="0" w:color="E5E7EB"/>
                                                                                                      </w:divBdr>
                                                                                                      <w:divsChild>
                                                                                                        <w:div w:id="60831954">
                                                                                                          <w:marLeft w:val="0"/>
                                                                                                          <w:marRight w:val="0"/>
                                                                                                          <w:marTop w:val="0"/>
                                                                                                          <w:marBottom w:val="0"/>
                                                                                                          <w:divBdr>
                                                                                                            <w:top w:val="single" w:sz="2" w:space="0" w:color="E5E7EB"/>
                                                                                                            <w:left w:val="single" w:sz="2" w:space="0" w:color="E5E7EB"/>
                                                                                                            <w:bottom w:val="single" w:sz="2" w:space="0" w:color="E5E7EB"/>
                                                                                                            <w:right w:val="single" w:sz="2" w:space="0" w:color="E5E7EB"/>
                                                                                                          </w:divBdr>
                                                                                                          <w:divsChild>
                                                                                                            <w:div w:id="1676689496">
                                                                                                              <w:marLeft w:val="-120"/>
                                                                                                              <w:marRight w:val="-120"/>
                                                                                                              <w:marTop w:val="0"/>
                                                                                                              <w:marBottom w:val="0"/>
                                                                                                              <w:divBdr>
                                                                                                                <w:top w:val="single" w:sz="2" w:space="0" w:color="E5E7EB"/>
                                                                                                                <w:left w:val="single" w:sz="2" w:space="0" w:color="E5E7EB"/>
                                                                                                                <w:bottom w:val="single" w:sz="2" w:space="0" w:color="E5E7EB"/>
                                                                                                                <w:right w:val="single" w:sz="2" w:space="0" w:color="E5E7EB"/>
                                                                                                              </w:divBdr>
                                                                                                              <w:divsChild>
                                                                                                                <w:div w:id="505555686">
                                                                                                                  <w:marLeft w:val="0"/>
                                                                                                                  <w:marRight w:val="0"/>
                                                                                                                  <w:marTop w:val="0"/>
                                                                                                                  <w:marBottom w:val="0"/>
                                                                                                                  <w:divBdr>
                                                                                                                    <w:top w:val="single" w:sz="2" w:space="0" w:color="E5E7EB"/>
                                                                                                                    <w:left w:val="single" w:sz="2" w:space="0" w:color="E5E7EB"/>
                                                                                                                    <w:bottom w:val="single" w:sz="2" w:space="0" w:color="E5E7EB"/>
                                                                                                                    <w:right w:val="single" w:sz="2" w:space="0" w:color="E5E7EB"/>
                                                                                                                  </w:divBdr>
                                                                                                                  <w:divsChild>
                                                                                                                    <w:div w:id="2079091110">
                                                                                                                      <w:marLeft w:val="0"/>
                                                                                                                      <w:marRight w:val="0"/>
                                                                                                                      <w:marTop w:val="0"/>
                                                                                                                      <w:marBottom w:val="0"/>
                                                                                                                      <w:divBdr>
                                                                                                                        <w:top w:val="single" w:sz="2" w:space="0" w:color="E5E7EB"/>
                                                                                                                        <w:left w:val="single" w:sz="2" w:space="0" w:color="E5E7EB"/>
                                                                                                                        <w:bottom w:val="single" w:sz="2" w:space="0" w:color="E5E7EB"/>
                                                                                                                        <w:right w:val="single" w:sz="2" w:space="0" w:color="E5E7EB"/>
                                                                                                                      </w:divBdr>
                                                                                                                      <w:divsChild>
                                                                                                                        <w:div w:id="1473137185">
                                                                                                                          <w:marLeft w:val="0"/>
                                                                                                                          <w:marRight w:val="0"/>
                                                                                                                          <w:marTop w:val="0"/>
                                                                                                                          <w:marBottom w:val="0"/>
                                                                                                                          <w:divBdr>
                                                                                                                            <w:top w:val="single" w:sz="2" w:space="0" w:color="E5E7EB"/>
                                                                                                                            <w:left w:val="single" w:sz="2" w:space="0" w:color="E5E7EB"/>
                                                                                                                            <w:bottom w:val="single" w:sz="2" w:space="0" w:color="E5E7EB"/>
                                                                                                                            <w:right w:val="single" w:sz="2" w:space="0" w:color="E5E7EB"/>
                                                                                                                          </w:divBdr>
                                                                                                                          <w:divsChild>
                                                                                                                            <w:div w:id="152150628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90441535">
                                                                                                                  <w:marLeft w:val="0"/>
                                                                                                                  <w:marRight w:val="0"/>
                                                                                                                  <w:marTop w:val="0"/>
                                                                                                                  <w:marBottom w:val="0"/>
                                                                                                                  <w:divBdr>
                                                                                                                    <w:top w:val="single" w:sz="2" w:space="0" w:color="E5E7EB"/>
                                                                                                                    <w:left w:val="single" w:sz="2" w:space="0" w:color="E5E7EB"/>
                                                                                                                    <w:bottom w:val="single" w:sz="2" w:space="0" w:color="E5E7EB"/>
                                                                                                                    <w:right w:val="single" w:sz="2" w:space="0" w:color="E5E7EB"/>
                                                                                                                  </w:divBdr>
                                                                                                                  <w:divsChild>
                                                                                                                    <w:div w:id="879240481">
                                                                                                                      <w:marLeft w:val="0"/>
                                                                                                                      <w:marRight w:val="0"/>
                                                                                                                      <w:marTop w:val="0"/>
                                                                                                                      <w:marBottom w:val="0"/>
                                                                                                                      <w:divBdr>
                                                                                                                        <w:top w:val="single" w:sz="2" w:space="0" w:color="E5E7EB"/>
                                                                                                                        <w:left w:val="single" w:sz="2" w:space="0" w:color="E5E7EB"/>
                                                                                                                        <w:bottom w:val="single" w:sz="2" w:space="0" w:color="E5E7EB"/>
                                                                                                                        <w:right w:val="single" w:sz="2" w:space="0" w:color="E5E7EB"/>
                                                                                                                      </w:divBdr>
                                                                                                                      <w:divsChild>
                                                                                                                        <w:div w:id="15268697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81229192">
                                                                                                                  <w:marLeft w:val="0"/>
                                                                                                                  <w:marRight w:val="0"/>
                                                                                                                  <w:marTop w:val="0"/>
                                                                                                                  <w:marBottom w:val="0"/>
                                                                                                                  <w:divBdr>
                                                                                                                    <w:top w:val="single" w:sz="2" w:space="0" w:color="E5E7EB"/>
                                                                                                                    <w:left w:val="single" w:sz="2" w:space="0" w:color="E5E7EB"/>
                                                                                                                    <w:bottom w:val="single" w:sz="2" w:space="0" w:color="E5E7EB"/>
                                                                                                                    <w:right w:val="single" w:sz="2" w:space="0" w:color="E5E7EB"/>
                                                                                                                  </w:divBdr>
                                                                                                                  <w:divsChild>
                                                                                                                    <w:div w:id="628390754">
                                                                                                                      <w:marLeft w:val="0"/>
                                                                                                                      <w:marRight w:val="0"/>
                                                                                                                      <w:marTop w:val="0"/>
                                                                                                                      <w:marBottom w:val="0"/>
                                                                                                                      <w:divBdr>
                                                                                                                        <w:top w:val="single" w:sz="2" w:space="0" w:color="E5E7EB"/>
                                                                                                                        <w:left w:val="single" w:sz="2" w:space="0" w:color="E5E7EB"/>
                                                                                                                        <w:bottom w:val="single" w:sz="2" w:space="0" w:color="E5E7EB"/>
                                                                                                                        <w:right w:val="single" w:sz="2" w:space="0" w:color="E5E7EB"/>
                                                                                                                      </w:divBdr>
                                                                                                                      <w:divsChild>
                                                                                                                        <w:div w:id="21467038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 w:id="1156457153">
                                                                          <w:marLeft w:val="0"/>
                                                                          <w:marRight w:val="0"/>
                                                                          <w:marTop w:val="0"/>
                                                                          <w:marBottom w:val="0"/>
                                                                          <w:divBdr>
                                                                            <w:top w:val="single" w:sz="2" w:space="0" w:color="E5E7EB"/>
                                                                            <w:left w:val="single" w:sz="2" w:space="0" w:color="E5E7EB"/>
                                                                            <w:bottom w:val="single" w:sz="2" w:space="0" w:color="E5E7EB"/>
                                                                            <w:right w:val="single" w:sz="2" w:space="0" w:color="E5E7EB"/>
                                                                          </w:divBdr>
                                                                          <w:divsChild>
                                                                            <w:div w:id="1315061446">
                                                                              <w:marLeft w:val="0"/>
                                                                              <w:marRight w:val="0"/>
                                                                              <w:marTop w:val="0"/>
                                                                              <w:marBottom w:val="0"/>
                                                                              <w:divBdr>
                                                                                <w:top w:val="single" w:sz="2" w:space="0" w:color="E5E7EB"/>
                                                                                <w:left w:val="single" w:sz="2" w:space="0" w:color="E5E7EB"/>
                                                                                <w:bottom w:val="single" w:sz="2" w:space="0" w:color="E5E7EB"/>
                                                                                <w:right w:val="single" w:sz="2" w:space="0" w:color="E5E7EB"/>
                                                                              </w:divBdr>
                                                                              <w:divsChild>
                                                                                <w:div w:id="1067459765">
                                                                                  <w:marLeft w:val="0"/>
                                                                                  <w:marRight w:val="0"/>
                                                                                  <w:marTop w:val="0"/>
                                                                                  <w:marBottom w:val="0"/>
                                                                                  <w:divBdr>
                                                                                    <w:top w:val="single" w:sz="2" w:space="0" w:color="E5E7EB"/>
                                                                                    <w:left w:val="single" w:sz="2" w:space="0" w:color="E5E7EB"/>
                                                                                    <w:bottom w:val="single" w:sz="2" w:space="0" w:color="E5E7EB"/>
                                                                                    <w:right w:val="single" w:sz="2" w:space="0" w:color="E5E7EB"/>
                                                                                  </w:divBdr>
                                                                                  <w:divsChild>
                                                                                    <w:div w:id="705370068">
                                                                                      <w:marLeft w:val="0"/>
                                                                                      <w:marRight w:val="0"/>
                                                                                      <w:marTop w:val="0"/>
                                                                                      <w:marBottom w:val="0"/>
                                                                                      <w:divBdr>
                                                                                        <w:top w:val="none" w:sz="0" w:space="0" w:color="auto"/>
                                                                                        <w:left w:val="none" w:sz="0" w:space="0" w:color="auto"/>
                                                                                        <w:bottom w:val="none" w:sz="0" w:space="0" w:color="auto"/>
                                                                                        <w:right w:val="none" w:sz="0" w:space="0" w:color="auto"/>
                                                                                      </w:divBdr>
                                                                                      <w:divsChild>
                                                                                        <w:div w:id="1015496913">
                                                                                          <w:marLeft w:val="0"/>
                                                                                          <w:marRight w:val="0"/>
                                                                                          <w:marTop w:val="0"/>
                                                                                          <w:marBottom w:val="0"/>
                                                                                          <w:divBdr>
                                                                                            <w:top w:val="single" w:sz="2" w:space="0" w:color="E5E7EB"/>
                                                                                            <w:left w:val="single" w:sz="2" w:space="0" w:color="E5E7EB"/>
                                                                                            <w:bottom w:val="single" w:sz="2" w:space="0" w:color="E5E7EB"/>
                                                                                            <w:right w:val="single" w:sz="2" w:space="0" w:color="E5E7EB"/>
                                                                                          </w:divBdr>
                                                                                          <w:divsChild>
                                                                                            <w:div w:id="1049575253">
                                                                                              <w:marLeft w:val="0"/>
                                                                                              <w:marRight w:val="0"/>
                                                                                              <w:marTop w:val="0"/>
                                                                                              <w:marBottom w:val="0"/>
                                                                                              <w:divBdr>
                                                                                                <w:top w:val="single" w:sz="2" w:space="0" w:color="E5E7EB"/>
                                                                                                <w:left w:val="single" w:sz="2" w:space="0" w:color="E5E7EB"/>
                                                                                                <w:bottom w:val="single" w:sz="2" w:space="0" w:color="E5E7EB"/>
                                                                                                <w:right w:val="single" w:sz="2" w:space="0" w:color="E5E7EB"/>
                                                                                              </w:divBdr>
                                                                                              <w:divsChild>
                                                                                                <w:div w:id="859391018">
                                                                                                  <w:marLeft w:val="0"/>
                                                                                                  <w:marRight w:val="0"/>
                                                                                                  <w:marTop w:val="0"/>
                                                                                                  <w:marBottom w:val="0"/>
                                                                                                  <w:divBdr>
                                                                                                    <w:top w:val="single" w:sz="2" w:space="0" w:color="E5E7EB"/>
                                                                                                    <w:left w:val="single" w:sz="2" w:space="0" w:color="E5E7EB"/>
                                                                                                    <w:bottom w:val="single" w:sz="2" w:space="0" w:color="E5E7EB"/>
                                                                                                    <w:right w:val="single" w:sz="2" w:space="0" w:color="E5E7EB"/>
                                                                                                  </w:divBdr>
                                                                                                  <w:divsChild>
                                                                                                    <w:div w:id="1265528511">
                                                                                                      <w:marLeft w:val="0"/>
                                                                                                      <w:marRight w:val="0"/>
                                                                                                      <w:marTop w:val="0"/>
                                                                                                      <w:marBottom w:val="0"/>
                                                                                                      <w:divBdr>
                                                                                                        <w:top w:val="single" w:sz="2" w:space="0" w:color="E5E7EB"/>
                                                                                                        <w:left w:val="single" w:sz="2" w:space="0" w:color="E5E7EB"/>
                                                                                                        <w:bottom w:val="single" w:sz="2" w:space="0" w:color="E5E7EB"/>
                                                                                                        <w:right w:val="single" w:sz="2" w:space="0" w:color="E5E7EB"/>
                                                                                                      </w:divBdr>
                                                                                                      <w:divsChild>
                                                                                                        <w:div w:id="803424223">
                                                                                                          <w:marLeft w:val="0"/>
                                                                                                          <w:marRight w:val="0"/>
                                                                                                          <w:marTop w:val="0"/>
                                                                                                          <w:marBottom w:val="0"/>
                                                                                                          <w:divBdr>
                                                                                                            <w:top w:val="single" w:sz="2" w:space="0" w:color="E5E7EB"/>
                                                                                                            <w:left w:val="single" w:sz="2" w:space="0" w:color="E5E7EB"/>
                                                                                                            <w:bottom w:val="single" w:sz="2" w:space="0" w:color="E5E7EB"/>
                                                                                                            <w:right w:val="single" w:sz="2" w:space="0" w:color="E5E7EB"/>
                                                                                                          </w:divBdr>
                                                                                                          <w:divsChild>
                                                                                                            <w:div w:id="486408507">
                                                                                                              <w:marLeft w:val="0"/>
                                                                                                              <w:marRight w:val="0"/>
                                                                                                              <w:marTop w:val="0"/>
                                                                                                              <w:marBottom w:val="0"/>
                                                                                                              <w:divBdr>
                                                                                                                <w:top w:val="single" w:sz="2" w:space="0" w:color="E5E7EB"/>
                                                                                                                <w:left w:val="single" w:sz="2" w:space="0" w:color="E5E7EB"/>
                                                                                                                <w:bottom w:val="single" w:sz="2" w:space="0" w:color="E5E7EB"/>
                                                                                                                <w:right w:val="single" w:sz="2" w:space="0" w:color="E5E7EB"/>
                                                                                                              </w:divBdr>
                                                                                                              <w:divsChild>
                                                                                                                <w:div w:id="26376838">
                                                                                                                  <w:marLeft w:val="0"/>
                                                                                                                  <w:marRight w:val="0"/>
                                                                                                                  <w:marTop w:val="0"/>
                                                                                                                  <w:marBottom w:val="0"/>
                                                                                                                  <w:divBdr>
                                                                                                                    <w:top w:val="none" w:sz="0" w:space="0" w:color="auto"/>
                                                                                                                    <w:left w:val="none" w:sz="0" w:space="0" w:color="auto"/>
                                                                                                                    <w:bottom w:val="none" w:sz="0" w:space="0" w:color="auto"/>
                                                                                                                    <w:right w:val="none" w:sz="0" w:space="0" w:color="auto"/>
                                                                                                                  </w:divBdr>
                                                                                                                  <w:divsChild>
                                                                                                                    <w:div w:id="630018901">
                                                                                                                      <w:marLeft w:val="0"/>
                                                                                                                      <w:marRight w:val="0"/>
                                                                                                                      <w:marTop w:val="0"/>
                                                                                                                      <w:marBottom w:val="0"/>
                                                                                                                      <w:divBdr>
                                                                                                                        <w:top w:val="single" w:sz="2" w:space="6" w:color="E5E7EB"/>
                                                                                                                        <w:left w:val="single" w:sz="2" w:space="6" w:color="E5E7EB"/>
                                                                                                                        <w:bottom w:val="single" w:sz="2" w:space="6" w:color="E5E7EB"/>
                                                                                                                        <w:right w:val="single" w:sz="2" w:space="6" w:color="E5E7EB"/>
                                                                                                                      </w:divBdr>
                                                                                                                      <w:divsChild>
                                                                                                                        <w:div w:id="481311673">
                                                                                                                          <w:marLeft w:val="0"/>
                                                                                                                          <w:marRight w:val="0"/>
                                                                                                                          <w:marTop w:val="0"/>
                                                                                                                          <w:marBottom w:val="0"/>
                                                                                                                          <w:divBdr>
                                                                                                                            <w:top w:val="single" w:sz="2" w:space="0" w:color="E5E7EB"/>
                                                                                                                            <w:left w:val="single" w:sz="2" w:space="0" w:color="E5E7EB"/>
                                                                                                                            <w:bottom w:val="single" w:sz="2" w:space="0" w:color="E5E7EB"/>
                                                                                                                            <w:right w:val="single" w:sz="2" w:space="0" w:color="E5E7EB"/>
                                                                                                                          </w:divBdr>
                                                                                                                          <w:divsChild>
                                                                                                                            <w:div w:id="10491950">
                                                                                                                              <w:marLeft w:val="0"/>
                                                                                                                              <w:marRight w:val="0"/>
                                                                                                                              <w:marTop w:val="0"/>
                                                                                                                              <w:marBottom w:val="0"/>
                                                                                                                              <w:divBdr>
                                                                                                                                <w:top w:val="single" w:sz="2" w:space="0" w:color="E5E7EB"/>
                                                                                                                                <w:left w:val="single" w:sz="2" w:space="0" w:color="E5E7EB"/>
                                                                                                                                <w:bottom w:val="single" w:sz="2" w:space="0" w:color="E5E7EB"/>
                                                                                                                                <w:right w:val="single" w:sz="2" w:space="0" w:color="E5E7EB"/>
                                                                                                                              </w:divBdr>
                                                                                                                              <w:divsChild>
                                                                                                                                <w:div w:id="27486259">
                                                                                                                                  <w:marLeft w:val="0"/>
                                                                                                                                  <w:marRight w:val="0"/>
                                                                                                                                  <w:marTop w:val="0"/>
                                                                                                                                  <w:marBottom w:val="0"/>
                                                                                                                                  <w:divBdr>
                                                                                                                                    <w:top w:val="none" w:sz="0" w:space="0" w:color="auto"/>
                                                                                                                                    <w:left w:val="none" w:sz="0" w:space="0" w:color="auto"/>
                                                                                                                                    <w:bottom w:val="none" w:sz="0" w:space="0" w:color="auto"/>
                                                                                                                                    <w:right w:val="none" w:sz="0" w:space="0" w:color="auto"/>
                                                                                                                                  </w:divBdr>
                                                                                                                                  <w:divsChild>
                                                                                                                                    <w:div w:id="1974481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9142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1865437307">
                                                                                                  <w:marLeft w:val="0"/>
                                                                                                  <w:marRight w:val="0"/>
                                                                                                  <w:marTop w:val="0"/>
                                                                                                  <w:marBottom w:val="0"/>
                                                                                                  <w:divBdr>
                                                                                                    <w:top w:val="single" w:sz="2" w:space="0" w:color="E5E7EB"/>
                                                                                                    <w:left w:val="single" w:sz="2" w:space="0" w:color="E5E7EB"/>
                                                                                                    <w:bottom w:val="single" w:sz="2" w:space="0" w:color="E5E7EB"/>
                                                                                                    <w:right w:val="single" w:sz="2" w:space="0" w:color="E5E7EB"/>
                                                                                                  </w:divBdr>
                                                                                                  <w:divsChild>
                                                                                                    <w:div w:id="1092161853">
                                                                                                      <w:marLeft w:val="0"/>
                                                                                                      <w:marRight w:val="0"/>
                                                                                                      <w:marTop w:val="0"/>
                                                                                                      <w:marBottom w:val="0"/>
                                                                                                      <w:divBdr>
                                                                                                        <w:top w:val="single" w:sz="2" w:space="0" w:color="E5E7EB"/>
                                                                                                        <w:left w:val="single" w:sz="2" w:space="0" w:color="E5E7EB"/>
                                                                                                        <w:bottom w:val="single" w:sz="2" w:space="0" w:color="E5E7EB"/>
                                                                                                        <w:right w:val="single" w:sz="2" w:space="0" w:color="E5E7EB"/>
                                                                                                      </w:divBdr>
                                                                                                      <w:divsChild>
                                                                                                        <w:div w:id="1858081078">
                                                                                                          <w:marLeft w:val="0"/>
                                                                                                          <w:marRight w:val="0"/>
                                                                                                          <w:marTop w:val="0"/>
                                                                                                          <w:marBottom w:val="0"/>
                                                                                                          <w:divBdr>
                                                                                                            <w:top w:val="single" w:sz="2" w:space="0" w:color="E5E7EB"/>
                                                                                                            <w:left w:val="single" w:sz="2" w:space="0" w:color="E5E7EB"/>
                                                                                                            <w:bottom w:val="single" w:sz="2" w:space="0" w:color="E5E7EB"/>
                                                                                                            <w:right w:val="single" w:sz="2" w:space="0" w:color="E5E7EB"/>
                                                                                                          </w:divBdr>
                                                                                                          <w:divsChild>
                                                                                                            <w:div w:id="645091176">
                                                                                                              <w:marLeft w:val="0"/>
                                                                                                              <w:marRight w:val="0"/>
                                                                                                              <w:marTop w:val="0"/>
                                                                                                              <w:marBottom w:val="0"/>
                                                                                                              <w:divBdr>
                                                                                                                <w:top w:val="single" w:sz="2" w:space="0" w:color="E5E7EB"/>
                                                                                                                <w:left w:val="single" w:sz="2" w:space="0" w:color="E5E7EB"/>
                                                                                                                <w:bottom w:val="single" w:sz="2" w:space="0" w:color="E5E7EB"/>
                                                                                                                <w:right w:val="single" w:sz="2" w:space="0" w:color="E5E7EB"/>
                                                                                                              </w:divBdr>
                                                                                                              <w:divsChild>
                                                                                                                <w:div w:id="538863414">
                                                                                                                  <w:marLeft w:val="0"/>
                                                                                                                  <w:marRight w:val="0"/>
                                                                                                                  <w:marTop w:val="0"/>
                                                                                                                  <w:marBottom w:val="0"/>
                                                                                                                  <w:divBdr>
                                                                                                                    <w:top w:val="none" w:sz="0" w:space="0" w:color="auto"/>
                                                                                                                    <w:left w:val="none" w:sz="0" w:space="0" w:color="auto"/>
                                                                                                                    <w:bottom w:val="none" w:sz="0" w:space="0" w:color="auto"/>
                                                                                                                    <w:right w:val="none" w:sz="0" w:space="0" w:color="auto"/>
                                                                                                                  </w:divBdr>
                                                                                                                  <w:divsChild>
                                                                                                                    <w:div w:id="308366919">
                                                                                                                      <w:marLeft w:val="0"/>
                                                                                                                      <w:marRight w:val="0"/>
                                                                                                                      <w:marTop w:val="0"/>
                                                                                                                      <w:marBottom w:val="0"/>
                                                                                                                      <w:divBdr>
                                                                                                                        <w:top w:val="single" w:sz="2" w:space="6" w:color="E5E7EB"/>
                                                                                                                        <w:left w:val="single" w:sz="2" w:space="6" w:color="E5E7EB"/>
                                                                                                                        <w:bottom w:val="single" w:sz="2" w:space="6" w:color="E5E7EB"/>
                                                                                                                        <w:right w:val="single" w:sz="2" w:space="6" w:color="E5E7EB"/>
                                                                                                                      </w:divBdr>
                                                                                                                      <w:divsChild>
                                                                                                                        <w:div w:id="1695691253">
                                                                                                                          <w:marLeft w:val="0"/>
                                                                                                                          <w:marRight w:val="0"/>
                                                                                                                          <w:marTop w:val="0"/>
                                                                                                                          <w:marBottom w:val="0"/>
                                                                                                                          <w:divBdr>
                                                                                                                            <w:top w:val="single" w:sz="2" w:space="0" w:color="E5E7EB"/>
                                                                                                                            <w:left w:val="single" w:sz="2" w:space="0" w:color="E5E7EB"/>
                                                                                                                            <w:bottom w:val="single" w:sz="2" w:space="0" w:color="E5E7EB"/>
                                                                                                                            <w:right w:val="single" w:sz="2" w:space="0" w:color="E5E7EB"/>
                                                                                                                          </w:divBdr>
                                                                                                                          <w:divsChild>
                                                                                                                            <w:div w:id="2014136868">
                                                                                                                              <w:marLeft w:val="0"/>
                                                                                                                              <w:marRight w:val="0"/>
                                                                                                                              <w:marTop w:val="0"/>
                                                                                                                              <w:marBottom w:val="0"/>
                                                                                                                              <w:divBdr>
                                                                                                                                <w:top w:val="single" w:sz="2" w:space="0" w:color="E5E7EB"/>
                                                                                                                                <w:left w:val="single" w:sz="2" w:space="0" w:color="E5E7EB"/>
                                                                                                                                <w:bottom w:val="single" w:sz="2" w:space="0" w:color="E5E7EB"/>
                                                                                                                                <w:right w:val="single" w:sz="2" w:space="0" w:color="E5E7EB"/>
                                                                                                                              </w:divBdr>
                                                                                                                              <w:divsChild>
                                                                                                                                <w:div w:id="1724258012">
                                                                                                                                  <w:marLeft w:val="0"/>
                                                                                                                                  <w:marRight w:val="0"/>
                                                                                                                                  <w:marTop w:val="0"/>
                                                                                                                                  <w:marBottom w:val="0"/>
                                                                                                                                  <w:divBdr>
                                                                                                                                    <w:top w:val="none" w:sz="0" w:space="0" w:color="auto"/>
                                                                                                                                    <w:left w:val="none" w:sz="0" w:space="0" w:color="auto"/>
                                                                                                                                    <w:bottom w:val="none" w:sz="0" w:space="0" w:color="auto"/>
                                                                                                                                    <w:right w:val="none" w:sz="0" w:space="0" w:color="auto"/>
                                                                                                                                  </w:divBdr>
                                                                                                                                  <w:divsChild>
                                                                                                                                    <w:div w:id="922376693">
                                                                                                                                      <w:marLeft w:val="0"/>
                                                                                                                                      <w:marRight w:val="0"/>
                                                                                                                                      <w:marTop w:val="0"/>
                                                                                                                                      <w:marBottom w:val="0"/>
                                                                                                                                      <w:divBdr>
                                                                                                                                        <w:top w:val="single" w:sz="2" w:space="0" w:color="E5E7EB"/>
                                                                                                                                        <w:left w:val="single" w:sz="2" w:space="0" w:color="E5E7EB"/>
                                                                                                                                        <w:bottom w:val="single" w:sz="2" w:space="0" w:color="E5E7EB"/>
                                                                                                                                        <w:right w:val="single" w:sz="2" w:space="0" w:color="E5E7EB"/>
                                                                                                                                      </w:divBdr>
                                                                                                                                      <w:divsChild>
                                                                                                                                        <w:div w:id="160572464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96169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947877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334191528">
                                                                                                  <w:marLeft w:val="0"/>
                                                                                                  <w:marRight w:val="0"/>
                                                                                                  <w:marTop w:val="0"/>
                                                                                                  <w:marBottom w:val="0"/>
                                                                                                  <w:divBdr>
                                                                                                    <w:top w:val="single" w:sz="2" w:space="0" w:color="E5E7EB"/>
                                                                                                    <w:left w:val="single" w:sz="2" w:space="0" w:color="E5E7EB"/>
                                                                                                    <w:bottom w:val="single" w:sz="2" w:space="0" w:color="E5E7EB"/>
                                                                                                    <w:right w:val="single" w:sz="2" w:space="0" w:color="E5E7EB"/>
                                                                                                  </w:divBdr>
                                                                                                  <w:divsChild>
                                                                                                    <w:div w:id="1466116520">
                                                                                                      <w:marLeft w:val="0"/>
                                                                                                      <w:marRight w:val="0"/>
                                                                                                      <w:marTop w:val="0"/>
                                                                                                      <w:marBottom w:val="0"/>
                                                                                                      <w:divBdr>
                                                                                                        <w:top w:val="single" w:sz="2" w:space="0" w:color="E5E7EB"/>
                                                                                                        <w:left w:val="single" w:sz="2" w:space="0" w:color="E5E7EB"/>
                                                                                                        <w:bottom w:val="single" w:sz="2" w:space="0" w:color="E5E7EB"/>
                                                                                                        <w:right w:val="single" w:sz="2" w:space="0" w:color="E5E7EB"/>
                                                                                                      </w:divBdr>
                                                                                                      <w:divsChild>
                                                                                                        <w:div w:id="769811108">
                                                                                                          <w:marLeft w:val="0"/>
                                                                                                          <w:marRight w:val="0"/>
                                                                                                          <w:marTop w:val="0"/>
                                                                                                          <w:marBottom w:val="0"/>
                                                                                                          <w:divBdr>
                                                                                                            <w:top w:val="single" w:sz="2" w:space="0" w:color="E5E7EB"/>
                                                                                                            <w:left w:val="single" w:sz="2" w:space="0" w:color="E5E7EB"/>
                                                                                                            <w:bottom w:val="single" w:sz="2" w:space="0" w:color="E5E7EB"/>
                                                                                                            <w:right w:val="single" w:sz="2" w:space="0" w:color="E5E7EB"/>
                                                                                                          </w:divBdr>
                                                                                                          <w:divsChild>
                                                                                                            <w:div w:id="1701973411">
                                                                                                              <w:marLeft w:val="0"/>
                                                                                                              <w:marRight w:val="0"/>
                                                                                                              <w:marTop w:val="0"/>
                                                                                                              <w:marBottom w:val="0"/>
                                                                                                              <w:divBdr>
                                                                                                                <w:top w:val="single" w:sz="2" w:space="0" w:color="E5E7EB"/>
                                                                                                                <w:left w:val="single" w:sz="2" w:space="0" w:color="E5E7EB"/>
                                                                                                                <w:bottom w:val="single" w:sz="2" w:space="0" w:color="E5E7EB"/>
                                                                                                                <w:right w:val="single" w:sz="2" w:space="0" w:color="E5E7EB"/>
                                                                                                              </w:divBdr>
                                                                                                              <w:divsChild>
                                                                                                                <w:div w:id="1434546764">
                                                                                                                  <w:marLeft w:val="0"/>
                                                                                                                  <w:marRight w:val="0"/>
                                                                                                                  <w:marTop w:val="0"/>
                                                                                                                  <w:marBottom w:val="0"/>
                                                                                                                  <w:divBdr>
                                                                                                                    <w:top w:val="none" w:sz="0" w:space="0" w:color="auto"/>
                                                                                                                    <w:left w:val="none" w:sz="0" w:space="0" w:color="auto"/>
                                                                                                                    <w:bottom w:val="none" w:sz="0" w:space="0" w:color="auto"/>
                                                                                                                    <w:right w:val="none" w:sz="0" w:space="0" w:color="auto"/>
                                                                                                                  </w:divBdr>
                                                                                                                  <w:divsChild>
                                                                                                                    <w:div w:id="498811554">
                                                                                                                      <w:marLeft w:val="0"/>
                                                                                                                      <w:marRight w:val="0"/>
                                                                                                                      <w:marTop w:val="0"/>
                                                                                                                      <w:marBottom w:val="0"/>
                                                                                                                      <w:divBdr>
                                                                                                                        <w:top w:val="single" w:sz="2" w:space="6" w:color="E5E7EB"/>
                                                                                                                        <w:left w:val="single" w:sz="2" w:space="6" w:color="E5E7EB"/>
                                                                                                                        <w:bottom w:val="single" w:sz="2" w:space="6" w:color="E5E7EB"/>
                                                                                                                        <w:right w:val="single" w:sz="2" w:space="6" w:color="E5E7EB"/>
                                                                                                                      </w:divBdr>
                                                                                                                      <w:divsChild>
                                                                                                                        <w:div w:id="339507555">
                                                                                                                          <w:marLeft w:val="0"/>
                                                                                                                          <w:marRight w:val="0"/>
                                                                                                                          <w:marTop w:val="0"/>
                                                                                                                          <w:marBottom w:val="0"/>
                                                                                                                          <w:divBdr>
                                                                                                                            <w:top w:val="single" w:sz="2" w:space="0" w:color="E5E7EB"/>
                                                                                                                            <w:left w:val="single" w:sz="2" w:space="0" w:color="E5E7EB"/>
                                                                                                                            <w:bottom w:val="single" w:sz="2" w:space="0" w:color="E5E7EB"/>
                                                                                                                            <w:right w:val="single" w:sz="2" w:space="0" w:color="E5E7EB"/>
                                                                                                                          </w:divBdr>
                                                                                                                          <w:divsChild>
                                                                                                                            <w:div w:id="806818891">
                                                                                                                              <w:marLeft w:val="0"/>
                                                                                                                              <w:marRight w:val="0"/>
                                                                                                                              <w:marTop w:val="0"/>
                                                                                                                              <w:marBottom w:val="0"/>
                                                                                                                              <w:divBdr>
                                                                                                                                <w:top w:val="single" w:sz="2" w:space="0" w:color="E5E7EB"/>
                                                                                                                                <w:left w:val="single" w:sz="2" w:space="0" w:color="E5E7EB"/>
                                                                                                                                <w:bottom w:val="single" w:sz="2" w:space="0" w:color="E5E7EB"/>
                                                                                                                                <w:right w:val="single" w:sz="2" w:space="0" w:color="E5E7EB"/>
                                                                                                                              </w:divBdr>
                                                                                                                              <w:divsChild>
                                                                                                                                <w:div w:id="329673410">
                                                                                                                                  <w:marLeft w:val="0"/>
                                                                                                                                  <w:marRight w:val="0"/>
                                                                                                                                  <w:marTop w:val="0"/>
                                                                                                                                  <w:marBottom w:val="0"/>
                                                                                                                                  <w:divBdr>
                                                                                                                                    <w:top w:val="none" w:sz="0" w:space="0" w:color="auto"/>
                                                                                                                                    <w:left w:val="none" w:sz="0" w:space="0" w:color="auto"/>
                                                                                                                                    <w:bottom w:val="none" w:sz="0" w:space="0" w:color="auto"/>
                                                                                                                                    <w:right w:val="none" w:sz="0" w:space="0" w:color="auto"/>
                                                                                                                                  </w:divBdr>
                                                                                                                                  <w:divsChild>
                                                                                                                                    <w:div w:id="1916160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1410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1050953858">
                                                                                                  <w:marLeft w:val="0"/>
                                                                                                  <w:marRight w:val="0"/>
                                                                                                  <w:marTop w:val="0"/>
                                                                                                  <w:marBottom w:val="0"/>
                                                                                                  <w:divBdr>
                                                                                                    <w:top w:val="single" w:sz="2" w:space="0" w:color="E5E7EB"/>
                                                                                                    <w:left w:val="single" w:sz="2" w:space="0" w:color="E5E7EB"/>
                                                                                                    <w:bottom w:val="single" w:sz="2" w:space="0" w:color="E5E7EB"/>
                                                                                                    <w:right w:val="single" w:sz="2" w:space="0" w:color="E5E7EB"/>
                                                                                                  </w:divBdr>
                                                                                                  <w:divsChild>
                                                                                                    <w:div w:id="500974992">
                                                                                                      <w:marLeft w:val="0"/>
                                                                                                      <w:marRight w:val="0"/>
                                                                                                      <w:marTop w:val="0"/>
                                                                                                      <w:marBottom w:val="0"/>
                                                                                                      <w:divBdr>
                                                                                                        <w:top w:val="single" w:sz="2" w:space="0" w:color="E5E7EB"/>
                                                                                                        <w:left w:val="single" w:sz="2" w:space="0" w:color="E5E7EB"/>
                                                                                                        <w:bottom w:val="single" w:sz="2" w:space="0" w:color="E5E7EB"/>
                                                                                                        <w:right w:val="single" w:sz="2" w:space="0" w:color="E5E7EB"/>
                                                                                                      </w:divBdr>
                                                                                                      <w:divsChild>
                                                                                                        <w:div w:id="89737298">
                                                                                                          <w:marLeft w:val="0"/>
                                                                                                          <w:marRight w:val="0"/>
                                                                                                          <w:marTop w:val="0"/>
                                                                                                          <w:marBottom w:val="0"/>
                                                                                                          <w:divBdr>
                                                                                                            <w:top w:val="single" w:sz="2" w:space="0" w:color="E5E7EB"/>
                                                                                                            <w:left w:val="single" w:sz="2" w:space="0" w:color="E5E7EB"/>
                                                                                                            <w:bottom w:val="single" w:sz="2" w:space="0" w:color="E5E7EB"/>
                                                                                                            <w:right w:val="single" w:sz="2" w:space="0" w:color="E5E7EB"/>
                                                                                                          </w:divBdr>
                                                                                                          <w:divsChild>
                                                                                                            <w:div w:id="857162843">
                                                                                                              <w:marLeft w:val="0"/>
                                                                                                              <w:marRight w:val="0"/>
                                                                                                              <w:marTop w:val="0"/>
                                                                                                              <w:marBottom w:val="0"/>
                                                                                                              <w:divBdr>
                                                                                                                <w:top w:val="single" w:sz="2" w:space="0" w:color="E5E7EB"/>
                                                                                                                <w:left w:val="single" w:sz="2" w:space="0" w:color="E5E7EB"/>
                                                                                                                <w:bottom w:val="single" w:sz="2" w:space="0" w:color="E5E7EB"/>
                                                                                                                <w:right w:val="single" w:sz="2" w:space="0" w:color="E5E7EB"/>
                                                                                                              </w:divBdr>
                                                                                                              <w:divsChild>
                                                                                                                <w:div w:id="926619768">
                                                                                                                  <w:marLeft w:val="0"/>
                                                                                                                  <w:marRight w:val="0"/>
                                                                                                                  <w:marTop w:val="0"/>
                                                                                                                  <w:marBottom w:val="0"/>
                                                                                                                  <w:divBdr>
                                                                                                                    <w:top w:val="none" w:sz="0" w:space="0" w:color="auto"/>
                                                                                                                    <w:left w:val="none" w:sz="0" w:space="0" w:color="auto"/>
                                                                                                                    <w:bottom w:val="none" w:sz="0" w:space="0" w:color="auto"/>
                                                                                                                    <w:right w:val="none" w:sz="0" w:space="0" w:color="auto"/>
                                                                                                                  </w:divBdr>
                                                                                                                  <w:divsChild>
                                                                                                                    <w:div w:id="479274832">
                                                                                                                      <w:marLeft w:val="0"/>
                                                                                                                      <w:marRight w:val="0"/>
                                                                                                                      <w:marTop w:val="0"/>
                                                                                                                      <w:marBottom w:val="0"/>
                                                                                                                      <w:divBdr>
                                                                                                                        <w:top w:val="single" w:sz="2" w:space="6" w:color="E5E7EB"/>
                                                                                                                        <w:left w:val="single" w:sz="2" w:space="6" w:color="E5E7EB"/>
                                                                                                                        <w:bottom w:val="single" w:sz="2" w:space="6" w:color="E5E7EB"/>
                                                                                                                        <w:right w:val="single" w:sz="2" w:space="6" w:color="E5E7EB"/>
                                                                                                                      </w:divBdr>
                                                                                                                      <w:divsChild>
                                                                                                                        <w:div w:id="770050575">
                                                                                                                          <w:marLeft w:val="0"/>
                                                                                                                          <w:marRight w:val="0"/>
                                                                                                                          <w:marTop w:val="0"/>
                                                                                                                          <w:marBottom w:val="0"/>
                                                                                                                          <w:divBdr>
                                                                                                                            <w:top w:val="single" w:sz="2" w:space="0" w:color="E5E7EB"/>
                                                                                                                            <w:left w:val="single" w:sz="2" w:space="0" w:color="E5E7EB"/>
                                                                                                                            <w:bottom w:val="single" w:sz="2" w:space="0" w:color="E5E7EB"/>
                                                                                                                            <w:right w:val="single" w:sz="2" w:space="0" w:color="E5E7EB"/>
                                                                                                                          </w:divBdr>
                                                                                                                          <w:divsChild>
                                                                                                                            <w:div w:id="983855286">
                                                                                                                              <w:marLeft w:val="0"/>
                                                                                                                              <w:marRight w:val="0"/>
                                                                                                                              <w:marTop w:val="0"/>
                                                                                                                              <w:marBottom w:val="0"/>
                                                                                                                              <w:divBdr>
                                                                                                                                <w:top w:val="single" w:sz="2" w:space="0" w:color="E5E7EB"/>
                                                                                                                                <w:left w:val="single" w:sz="2" w:space="0" w:color="E5E7EB"/>
                                                                                                                                <w:bottom w:val="single" w:sz="2" w:space="0" w:color="E5E7EB"/>
                                                                                                                                <w:right w:val="single" w:sz="2" w:space="0" w:color="E5E7EB"/>
                                                                                                                              </w:divBdr>
                                                                                                                              <w:divsChild>
                                                                                                                                <w:div w:id="862479222">
                                                                                                                                  <w:marLeft w:val="0"/>
                                                                                                                                  <w:marRight w:val="0"/>
                                                                                                                                  <w:marTop w:val="0"/>
                                                                                                                                  <w:marBottom w:val="0"/>
                                                                                                                                  <w:divBdr>
                                                                                                                                    <w:top w:val="none" w:sz="0" w:space="0" w:color="auto"/>
                                                                                                                                    <w:left w:val="none" w:sz="0" w:space="0" w:color="auto"/>
                                                                                                                                    <w:bottom w:val="none" w:sz="0" w:space="0" w:color="auto"/>
                                                                                                                                    <w:right w:val="none" w:sz="0" w:space="0" w:color="auto"/>
                                                                                                                                  </w:divBdr>
                                                                                                                                  <w:divsChild>
                                                                                                                                    <w:div w:id="1607884942">
                                                                                                                                      <w:marLeft w:val="0"/>
                                                                                                                                      <w:marRight w:val="0"/>
                                                                                                                                      <w:marTop w:val="0"/>
                                                                                                                                      <w:marBottom w:val="0"/>
                                                                                                                                      <w:divBdr>
                                                                                                                                        <w:top w:val="single" w:sz="2" w:space="0" w:color="E5E7EB"/>
                                                                                                                                        <w:left w:val="single" w:sz="2" w:space="0" w:color="E5E7EB"/>
                                                                                                                                        <w:bottom w:val="single" w:sz="2" w:space="0" w:color="E5E7EB"/>
                                                                                                                                        <w:right w:val="single" w:sz="2" w:space="0" w:color="E5E7EB"/>
                                                                                                                                      </w:divBdr>
                                                                                                                                      <w:divsChild>
                                                                                                                                        <w:div w:id="10232828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873274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83732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 w:id="1756365836">
                                                                                      <w:marLeft w:val="0"/>
                                                                                      <w:marRight w:val="0"/>
                                                                                      <w:marTop w:val="0"/>
                                                                                      <w:marBottom w:val="0"/>
                                                                                      <w:divBdr>
                                                                                        <w:top w:val="single" w:sz="2" w:space="0" w:color="E5E7EB"/>
                                                                                        <w:left w:val="single" w:sz="2" w:space="0" w:color="E5E7EB"/>
                                                                                        <w:bottom w:val="single" w:sz="2" w:space="0" w:color="E5E7EB"/>
                                                                                        <w:right w:val="single" w:sz="2" w:space="0" w:color="E5E7EB"/>
                                                                                      </w:divBdr>
                                                                                      <w:divsChild>
                                                                                        <w:div w:id="937635302">
                                                                                          <w:marLeft w:val="0"/>
                                                                                          <w:marRight w:val="0"/>
                                                                                          <w:marTop w:val="0"/>
                                                                                          <w:marBottom w:val="0"/>
                                                                                          <w:divBdr>
                                                                                            <w:top w:val="none" w:sz="0" w:space="0" w:color="auto"/>
                                                                                            <w:left w:val="none" w:sz="0" w:space="0" w:color="auto"/>
                                                                                            <w:bottom w:val="none" w:sz="0" w:space="0" w:color="auto"/>
                                                                                            <w:right w:val="none" w:sz="0" w:space="0" w:color="auto"/>
                                                                                          </w:divBdr>
                                                                                          <w:divsChild>
                                                                                            <w:div w:id="1622805226">
                                                                                              <w:marLeft w:val="0"/>
                                                                                              <w:marRight w:val="0"/>
                                                                                              <w:marTop w:val="0"/>
                                                                                              <w:marBottom w:val="0"/>
                                                                                              <w:divBdr>
                                                                                                <w:top w:val="single" w:sz="2" w:space="0" w:color="E5E7EB"/>
                                                                                                <w:left w:val="single" w:sz="2" w:space="0" w:color="E5E7EB"/>
                                                                                                <w:bottom w:val="single" w:sz="2" w:space="0" w:color="E5E7EB"/>
                                                                                                <w:right w:val="single" w:sz="2" w:space="0" w:color="E5E7EB"/>
                                                                                              </w:divBdr>
                                                                                              <w:divsChild>
                                                                                                <w:div w:id="154424291">
                                                                                                  <w:marLeft w:val="0"/>
                                                                                                  <w:marRight w:val="0"/>
                                                                                                  <w:marTop w:val="0"/>
                                                                                                  <w:marBottom w:val="0"/>
                                                                                                  <w:divBdr>
                                                                                                    <w:top w:val="single" w:sz="2" w:space="0" w:color="E5E7EB"/>
                                                                                                    <w:left w:val="single" w:sz="2" w:space="0" w:color="E5E7EB"/>
                                                                                                    <w:bottom w:val="single" w:sz="2" w:space="0" w:color="E5E7EB"/>
                                                                                                    <w:right w:val="single" w:sz="2" w:space="0" w:color="E5E7EB"/>
                                                                                                  </w:divBdr>
                                                                                                  <w:divsChild>
                                                                                                    <w:div w:id="1869179261">
                                                                                                      <w:marLeft w:val="0"/>
                                                                                                      <w:marRight w:val="0"/>
                                                                                                      <w:marTop w:val="0"/>
                                                                                                      <w:marBottom w:val="0"/>
                                                                                                      <w:divBdr>
                                                                                                        <w:top w:val="single" w:sz="2" w:space="0" w:color="E5E7EB"/>
                                                                                                        <w:left w:val="single" w:sz="2" w:space="0" w:color="E5E7EB"/>
                                                                                                        <w:bottom w:val="single" w:sz="2" w:space="0" w:color="E5E7EB"/>
                                                                                                        <w:right w:val="single" w:sz="2" w:space="0" w:color="E5E7EB"/>
                                                                                                      </w:divBdr>
                                                                                                      <w:divsChild>
                                                                                                        <w:div w:id="384253923">
                                                                                                          <w:marLeft w:val="0"/>
                                                                                                          <w:marRight w:val="0"/>
                                                                                                          <w:marTop w:val="0"/>
                                                                                                          <w:marBottom w:val="0"/>
                                                                                                          <w:divBdr>
                                                                                                            <w:top w:val="single" w:sz="2" w:space="0" w:color="E5E7EB"/>
                                                                                                            <w:left w:val="single" w:sz="2" w:space="0" w:color="E5E7EB"/>
                                                                                                            <w:bottom w:val="single" w:sz="2" w:space="0" w:color="E5E7EB"/>
                                                                                                            <w:right w:val="single" w:sz="2" w:space="0" w:color="E5E7EB"/>
                                                                                                          </w:divBdr>
                                                                                                          <w:divsChild>
                                                                                                            <w:div w:id="1879051482">
                                                                                                              <w:marLeft w:val="0"/>
                                                                                                              <w:marRight w:val="0"/>
                                                                                                              <w:marTop w:val="0"/>
                                                                                                              <w:marBottom w:val="0"/>
                                                                                                              <w:divBdr>
                                                                                                                <w:top w:val="single" w:sz="2" w:space="0" w:color="E5E7EB"/>
                                                                                                                <w:left w:val="single" w:sz="2" w:space="0" w:color="E5E7EB"/>
                                                                                                                <w:bottom w:val="single" w:sz="2" w:space="0" w:color="E5E7EB"/>
                                                                                                                <w:right w:val="single" w:sz="2" w:space="0" w:color="E5E7EB"/>
                                                                                                              </w:divBdr>
                                                                                                              <w:divsChild>
                                                                                                                <w:div w:id="1327514154">
                                                                                                                  <w:marLeft w:val="0"/>
                                                                                                                  <w:marRight w:val="0"/>
                                                                                                                  <w:marTop w:val="0"/>
                                                                                                                  <w:marBottom w:val="0"/>
                                                                                                                  <w:divBdr>
                                                                                                                    <w:top w:val="single" w:sz="2" w:space="0" w:color="E5E7EB"/>
                                                                                                                    <w:left w:val="single" w:sz="2" w:space="0" w:color="E5E7EB"/>
                                                                                                                    <w:bottom w:val="single" w:sz="2" w:space="0" w:color="E5E7EB"/>
                                                                                                                    <w:right w:val="single" w:sz="2" w:space="0" w:color="E5E7EB"/>
                                                                                                                  </w:divBdr>
                                                                                                                  <w:divsChild>
                                                                                                                    <w:div w:id="1438787816">
                                                                                                                      <w:marLeft w:val="0"/>
                                                                                                                      <w:marRight w:val="0"/>
                                                                                                                      <w:marTop w:val="0"/>
                                                                                                                      <w:marBottom w:val="0"/>
                                                                                                                      <w:divBdr>
                                                                                                                        <w:top w:val="single" w:sz="2" w:space="0" w:color="E5E7EB"/>
                                                                                                                        <w:left w:val="single" w:sz="2" w:space="0" w:color="E5E7EB"/>
                                                                                                                        <w:bottom w:val="single" w:sz="2" w:space="0" w:color="E5E7EB"/>
                                                                                                                        <w:right w:val="single" w:sz="2" w:space="0" w:color="E5E7EB"/>
                                                                                                                      </w:divBdr>
                                                                                                                      <w:divsChild>
                                                                                                                        <w:div w:id="95618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6470226">
                                                                                                  <w:marLeft w:val="0"/>
                                                                                                  <w:marRight w:val="0"/>
                                                                                                  <w:marTop w:val="0"/>
                                                                                                  <w:marBottom w:val="0"/>
                                                                                                  <w:divBdr>
                                                                                                    <w:top w:val="single" w:sz="2" w:space="0" w:color="E5E7EB"/>
                                                                                                    <w:left w:val="single" w:sz="2" w:space="0" w:color="E5E7EB"/>
                                                                                                    <w:bottom w:val="single" w:sz="2" w:space="0" w:color="E5E7EB"/>
                                                                                                    <w:right w:val="single" w:sz="2" w:space="0" w:color="E5E7EB"/>
                                                                                                  </w:divBdr>
                                                                                                  <w:divsChild>
                                                                                                    <w:div w:id="1937402096">
                                                                                                      <w:marLeft w:val="-120"/>
                                                                                                      <w:marRight w:val="0"/>
                                                                                                      <w:marTop w:val="0"/>
                                                                                                      <w:marBottom w:val="0"/>
                                                                                                      <w:divBdr>
                                                                                                        <w:top w:val="single" w:sz="2" w:space="0" w:color="E5E7EB"/>
                                                                                                        <w:left w:val="single" w:sz="2" w:space="0" w:color="E5E7EB"/>
                                                                                                        <w:bottom w:val="single" w:sz="2" w:space="0" w:color="E5E7EB"/>
                                                                                                        <w:right w:val="single" w:sz="2" w:space="0" w:color="E5E7EB"/>
                                                                                                      </w:divBdr>
                                                                                                      <w:divsChild>
                                                                                                        <w:div w:id="627010314">
                                                                                                          <w:marLeft w:val="0"/>
                                                                                                          <w:marRight w:val="0"/>
                                                                                                          <w:marTop w:val="0"/>
                                                                                                          <w:marBottom w:val="0"/>
                                                                                                          <w:divBdr>
                                                                                                            <w:top w:val="single" w:sz="2" w:space="0" w:color="E5E7EB"/>
                                                                                                            <w:left w:val="single" w:sz="2" w:space="0" w:color="E5E7EB"/>
                                                                                                            <w:bottom w:val="single" w:sz="2" w:space="0" w:color="E5E7EB"/>
                                                                                                            <w:right w:val="single" w:sz="2" w:space="0" w:color="E5E7EB"/>
                                                                                                          </w:divBdr>
                                                                                                          <w:divsChild>
                                                                                                            <w:div w:id="132404865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22805340">
                                                                                                          <w:marLeft w:val="0"/>
                                                                                                          <w:marRight w:val="0"/>
                                                                                                          <w:marTop w:val="0"/>
                                                                                                          <w:marBottom w:val="0"/>
                                                                                                          <w:divBdr>
                                                                                                            <w:top w:val="single" w:sz="2" w:space="0" w:color="E5E7EB"/>
                                                                                                            <w:left w:val="single" w:sz="2" w:space="0" w:color="E5E7EB"/>
                                                                                                            <w:bottom w:val="single" w:sz="2" w:space="0" w:color="E5E7EB"/>
                                                                                                            <w:right w:val="single" w:sz="2" w:space="0" w:color="E5E7EB"/>
                                                                                                          </w:divBdr>
                                                                                                          <w:divsChild>
                                                                                                            <w:div w:id="630285560">
                                                                                                              <w:marLeft w:val="0"/>
                                                                                                              <w:marRight w:val="0"/>
                                                                                                              <w:marTop w:val="0"/>
                                                                                                              <w:marBottom w:val="0"/>
                                                                                                              <w:divBdr>
                                                                                                                <w:top w:val="single" w:sz="2" w:space="0" w:color="E5E7EB"/>
                                                                                                                <w:left w:val="single" w:sz="2" w:space="0" w:color="E5E7EB"/>
                                                                                                                <w:bottom w:val="single" w:sz="2" w:space="0" w:color="E5E7EB"/>
                                                                                                                <w:right w:val="single" w:sz="2" w:space="0" w:color="E5E7EB"/>
                                                                                                              </w:divBdr>
                                                                                                              <w:divsChild>
                                                                                                                <w:div w:id="30450742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729569197">
                                                                                                          <w:marLeft w:val="0"/>
                                                                                                          <w:marRight w:val="0"/>
                                                                                                          <w:marTop w:val="0"/>
                                                                                                          <w:marBottom w:val="0"/>
                                                                                                          <w:divBdr>
                                                                                                            <w:top w:val="single" w:sz="2" w:space="0" w:color="E5E7EB"/>
                                                                                                            <w:left w:val="single" w:sz="2" w:space="0" w:color="E5E7EB"/>
                                                                                                            <w:bottom w:val="single" w:sz="2" w:space="0" w:color="E5E7EB"/>
                                                                                                            <w:right w:val="single" w:sz="2" w:space="0" w:color="E5E7EB"/>
                                                                                                          </w:divBdr>
                                                                                                          <w:divsChild>
                                                                                                            <w:div w:id="710227774">
                                                                                                              <w:marLeft w:val="0"/>
                                                                                                              <w:marRight w:val="0"/>
                                                                                                              <w:marTop w:val="0"/>
                                                                                                              <w:marBottom w:val="0"/>
                                                                                                              <w:divBdr>
                                                                                                                <w:top w:val="single" w:sz="2" w:space="0" w:color="E5E7EB"/>
                                                                                                                <w:left w:val="single" w:sz="2" w:space="0" w:color="E5E7EB"/>
                                                                                                                <w:bottom w:val="single" w:sz="2" w:space="0" w:color="E5E7EB"/>
                                                                                                                <w:right w:val="single" w:sz="2" w:space="0" w:color="E5E7EB"/>
                                                                                                              </w:divBdr>
                                                                                                              <w:divsChild>
                                                                                                                <w:div w:id="192387748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 w:id="1472209962">
                                                                                          <w:marLeft w:val="0"/>
                                                                                          <w:marRight w:val="0"/>
                                                                                          <w:marTop w:val="0"/>
                                                                                          <w:marBottom w:val="0"/>
                                                                                          <w:divBdr>
                                                                                            <w:top w:val="single" w:sz="2" w:space="0" w:color="E5E7EB"/>
                                                                                            <w:left w:val="single" w:sz="2" w:space="0" w:color="E5E7EB"/>
                                                                                            <w:bottom w:val="single" w:sz="2" w:space="0" w:color="E5E7EB"/>
                                                                                            <w:right w:val="single" w:sz="2" w:space="0" w:color="E5E7EB"/>
                                                                                          </w:divBdr>
                                                                                          <w:divsChild>
                                                                                            <w:div w:id="3173206">
                                                                                              <w:marLeft w:val="0"/>
                                                                                              <w:marRight w:val="0"/>
                                                                                              <w:marTop w:val="0"/>
                                                                                              <w:marBottom w:val="0"/>
                                                                                              <w:divBdr>
                                                                                                <w:top w:val="none" w:sz="0" w:space="0" w:color="auto"/>
                                                                                                <w:left w:val="none" w:sz="0" w:space="0" w:color="auto"/>
                                                                                                <w:bottom w:val="none" w:sz="0" w:space="0" w:color="auto"/>
                                                                                                <w:right w:val="none" w:sz="0" w:space="0" w:color="auto"/>
                                                                                              </w:divBdr>
                                                                                              <w:divsChild>
                                                                                                <w:div w:id="1200625675">
                                                                                                  <w:marLeft w:val="0"/>
                                                                                                  <w:marRight w:val="0"/>
                                                                                                  <w:marTop w:val="0"/>
                                                                                                  <w:marBottom w:val="0"/>
                                                                                                  <w:divBdr>
                                                                                                    <w:top w:val="none" w:sz="0" w:space="0" w:color="auto"/>
                                                                                                    <w:left w:val="none" w:sz="0" w:space="0" w:color="auto"/>
                                                                                                    <w:bottom w:val="none" w:sz="0" w:space="0" w:color="auto"/>
                                                                                                    <w:right w:val="none" w:sz="0" w:space="0" w:color="auto"/>
                                                                                                  </w:divBdr>
                                                                                                  <w:divsChild>
                                                                                                    <w:div w:id="649675261">
                                                                                                      <w:marLeft w:val="0"/>
                                                                                                      <w:marRight w:val="0"/>
                                                                                                      <w:marTop w:val="0"/>
                                                                                                      <w:marBottom w:val="0"/>
                                                                                                      <w:divBdr>
                                                                                                        <w:top w:val="none" w:sz="0" w:space="0" w:color="auto"/>
                                                                                                        <w:left w:val="none" w:sz="0" w:space="0" w:color="auto"/>
                                                                                                        <w:bottom w:val="none" w:sz="0" w:space="0" w:color="auto"/>
                                                                                                        <w:right w:val="none" w:sz="0" w:space="0" w:color="auto"/>
                                                                                                      </w:divBdr>
                                                                                                      <w:divsChild>
                                                                                                        <w:div w:id="1980918602">
                                                                                                          <w:marLeft w:val="0"/>
                                                                                                          <w:marRight w:val="0"/>
                                                                                                          <w:marTop w:val="0"/>
                                                                                                          <w:marBottom w:val="120"/>
                                                                                                          <w:divBdr>
                                                                                                            <w:top w:val="single" w:sz="2" w:space="0" w:color="E5E7EB"/>
                                                                                                            <w:left w:val="single" w:sz="2" w:space="0" w:color="E5E7EB"/>
                                                                                                            <w:bottom w:val="single" w:sz="2" w:space="0" w:color="E5E7EB"/>
                                                                                                            <w:right w:val="single" w:sz="2" w:space="0" w:color="E5E7EB"/>
                                                                                                          </w:divBdr>
                                                                                                          <w:divsChild>
                                                                                                            <w:div w:id="1366130153">
                                                                                                              <w:marLeft w:val="0"/>
                                                                                                              <w:marRight w:val="0"/>
                                                                                                              <w:marTop w:val="0"/>
                                                                                                              <w:marBottom w:val="0"/>
                                                                                                              <w:divBdr>
                                                                                                                <w:top w:val="single" w:sz="2" w:space="0" w:color="E5E7EB"/>
                                                                                                                <w:left w:val="single" w:sz="2" w:space="0" w:color="E5E7EB"/>
                                                                                                                <w:bottom w:val="single" w:sz="2" w:space="0" w:color="E5E7EB"/>
                                                                                                                <w:right w:val="single" w:sz="2" w:space="0" w:color="E5E7EB"/>
                                                                                                              </w:divBdr>
                                                                                                              <w:divsChild>
                                                                                                                <w:div w:id="804002466">
                                                                                                                  <w:marLeft w:val="0"/>
                                                                                                                  <w:marRight w:val="0"/>
                                                                                                                  <w:marTop w:val="0"/>
                                                                                                                  <w:marBottom w:val="0"/>
                                                                                                                  <w:divBdr>
                                                                                                                    <w:top w:val="single" w:sz="2" w:space="0" w:color="E5E7EB"/>
                                                                                                                    <w:left w:val="single" w:sz="2" w:space="0" w:color="E5E7EB"/>
                                                                                                                    <w:bottom w:val="single" w:sz="2" w:space="0" w:color="E5E7EB"/>
                                                                                                                    <w:right w:val="single" w:sz="2" w:space="0" w:color="E5E7EB"/>
                                                                                                                  </w:divBdr>
                                                                                                                  <w:divsChild>
                                                                                                                    <w:div w:id="1798987654">
                                                                                                                      <w:marLeft w:val="12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79794575">
                                                                                                      <w:marLeft w:val="0"/>
                                                                                                      <w:marRight w:val="0"/>
                                                                                                      <w:marTop w:val="0"/>
                                                                                                      <w:marBottom w:val="0"/>
                                                                                                      <w:divBdr>
                                                                                                        <w:top w:val="single" w:sz="6" w:space="0" w:color="auto"/>
                                                                                                        <w:left w:val="single" w:sz="2" w:space="0" w:color="auto"/>
                                                                                                        <w:bottom w:val="single" w:sz="2" w:space="0" w:color="auto"/>
                                                                                                        <w:right w:val="single" w:sz="2" w:space="0" w:color="auto"/>
                                                                                                      </w:divBdr>
                                                                                                      <w:divsChild>
                                                                                                        <w:div w:id="1311519162">
                                                                                                          <w:marLeft w:val="0"/>
                                                                                                          <w:marRight w:val="0"/>
                                                                                                          <w:marTop w:val="0"/>
                                                                                                          <w:marBottom w:val="0"/>
                                                                                                          <w:divBdr>
                                                                                                            <w:top w:val="single" w:sz="2" w:space="6" w:color="E5E7EB"/>
                                                                                                            <w:left w:val="single" w:sz="2" w:space="0" w:color="E5E7EB"/>
                                                                                                            <w:bottom w:val="single" w:sz="2" w:space="6" w:color="E5E7EB"/>
                                                                                                            <w:right w:val="single" w:sz="2" w:space="0" w:color="E5E7EB"/>
                                                                                                          </w:divBdr>
                                                                                                          <w:divsChild>
                                                                                                            <w:div w:id="6235863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48776534">
                                                                                                          <w:marLeft w:val="0"/>
                                                                                                          <w:marRight w:val="0"/>
                                                                                                          <w:marTop w:val="0"/>
                                                                                                          <w:marBottom w:val="0"/>
                                                                                                          <w:divBdr>
                                                                                                            <w:top w:val="single" w:sz="4" w:space="6" w:color="auto"/>
                                                                                                            <w:left w:val="single" w:sz="2" w:space="0" w:color="auto"/>
                                                                                                            <w:bottom w:val="single" w:sz="2" w:space="6" w:color="auto"/>
                                                                                                            <w:right w:val="single" w:sz="2" w:space="0" w:color="auto"/>
                                                                                                          </w:divBdr>
                                                                                                          <w:divsChild>
                                                                                                            <w:div w:id="1078133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0364282">
                                                                                                          <w:marLeft w:val="0"/>
                                                                                                          <w:marRight w:val="0"/>
                                                                                                          <w:marTop w:val="0"/>
                                                                                                          <w:marBottom w:val="0"/>
                                                                                                          <w:divBdr>
                                                                                                            <w:top w:val="single" w:sz="4" w:space="6" w:color="auto"/>
                                                                                                            <w:left w:val="single" w:sz="2" w:space="0" w:color="auto"/>
                                                                                                            <w:bottom w:val="single" w:sz="2" w:space="6" w:color="auto"/>
                                                                                                            <w:right w:val="single" w:sz="2" w:space="0" w:color="auto"/>
                                                                                                          </w:divBdr>
                                                                                                          <w:divsChild>
                                                                                                            <w:div w:id="21172884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34099564">
                                                                                                          <w:marLeft w:val="0"/>
                                                                                                          <w:marRight w:val="0"/>
                                                                                                          <w:marTop w:val="0"/>
                                                                                                          <w:marBottom w:val="0"/>
                                                                                                          <w:divBdr>
                                                                                                            <w:top w:val="single" w:sz="4" w:space="6" w:color="auto"/>
                                                                                                            <w:left w:val="single" w:sz="2" w:space="0" w:color="auto"/>
                                                                                                            <w:bottom w:val="single" w:sz="2" w:space="6" w:color="auto"/>
                                                                                                            <w:right w:val="single" w:sz="2" w:space="0" w:color="auto"/>
                                                                                                          </w:divBdr>
                                                                                                          <w:divsChild>
                                                                                                            <w:div w:id="183580024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141725925">
                                                                                                          <w:marLeft w:val="0"/>
                                                                                                          <w:marRight w:val="0"/>
                                                                                                          <w:marTop w:val="0"/>
                                                                                                          <w:marBottom w:val="0"/>
                                                                                                          <w:divBdr>
                                                                                                            <w:top w:val="single" w:sz="4" w:space="6" w:color="auto"/>
                                                                                                            <w:left w:val="single" w:sz="2" w:space="0" w:color="auto"/>
                                                                                                            <w:bottom w:val="single" w:sz="2" w:space="6" w:color="auto"/>
                                                                                                            <w:right w:val="single" w:sz="2" w:space="0" w:color="auto"/>
                                                                                                          </w:divBdr>
                                                                                                          <w:divsChild>
                                                                                                            <w:div w:id="44716064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67312118">
                                      <w:marLeft w:val="0"/>
                                      <w:marRight w:val="0"/>
                                      <w:marTop w:val="0"/>
                                      <w:marBottom w:val="0"/>
                                      <w:divBdr>
                                        <w:top w:val="none" w:sz="0" w:space="0" w:color="auto"/>
                                        <w:left w:val="none" w:sz="0" w:space="0" w:color="auto"/>
                                        <w:bottom w:val="none" w:sz="0" w:space="0" w:color="auto"/>
                                        <w:right w:val="none" w:sz="0" w:space="0" w:color="auto"/>
                                      </w:divBdr>
                                      <w:divsChild>
                                        <w:div w:id="2038919582">
                                          <w:marLeft w:val="0"/>
                                          <w:marRight w:val="0"/>
                                          <w:marTop w:val="0"/>
                                          <w:marBottom w:val="0"/>
                                          <w:divBdr>
                                            <w:top w:val="single" w:sz="2" w:space="0" w:color="E5E7EB"/>
                                            <w:left w:val="single" w:sz="2" w:space="24" w:color="E5E7EB"/>
                                            <w:bottom w:val="single" w:sz="2" w:space="0" w:color="E5E7EB"/>
                                            <w:right w:val="single" w:sz="2" w:space="24" w:color="E5E7EB"/>
                                          </w:divBdr>
                                          <w:divsChild>
                                            <w:div w:id="1423061819">
                                              <w:marLeft w:val="0"/>
                                              <w:marRight w:val="0"/>
                                              <w:marTop w:val="0"/>
                                              <w:marBottom w:val="0"/>
                                              <w:divBdr>
                                                <w:top w:val="single" w:sz="2" w:space="0" w:color="E5E7EB"/>
                                                <w:left w:val="single" w:sz="2" w:space="0" w:color="E5E7EB"/>
                                                <w:bottom w:val="single" w:sz="2" w:space="0" w:color="E5E7EB"/>
                                                <w:right w:val="single" w:sz="2" w:space="0" w:color="E5E7EB"/>
                                              </w:divBdr>
                                              <w:divsChild>
                                                <w:div w:id="1449740399">
                                                  <w:marLeft w:val="0"/>
                                                  <w:marRight w:val="0"/>
                                                  <w:marTop w:val="0"/>
                                                  <w:marBottom w:val="0"/>
                                                  <w:divBdr>
                                                    <w:top w:val="single" w:sz="2" w:space="0" w:color="E5E7EB"/>
                                                    <w:left w:val="single" w:sz="2" w:space="0" w:color="E5E7EB"/>
                                                    <w:bottom w:val="single" w:sz="2" w:space="0" w:color="E5E7EB"/>
                                                    <w:right w:val="single" w:sz="2" w:space="0" w:color="E5E7EB"/>
                                                  </w:divBdr>
                                                  <w:divsChild>
                                                    <w:div w:id="853497260">
                                                      <w:marLeft w:val="0"/>
                                                      <w:marRight w:val="0"/>
                                                      <w:marTop w:val="0"/>
                                                      <w:marBottom w:val="0"/>
                                                      <w:divBdr>
                                                        <w:top w:val="single" w:sz="2" w:space="0" w:color="E5E7EB"/>
                                                        <w:left w:val="single" w:sz="2" w:space="0" w:color="E5E7EB"/>
                                                        <w:bottom w:val="single" w:sz="2" w:space="0" w:color="E5E7EB"/>
                                                        <w:right w:val="single" w:sz="2" w:space="0" w:color="E5E7EB"/>
                                                      </w:divBdr>
                                                      <w:divsChild>
                                                        <w:div w:id="1232546964">
                                                          <w:marLeft w:val="0"/>
                                                          <w:marRight w:val="0"/>
                                                          <w:marTop w:val="0"/>
                                                          <w:marBottom w:val="0"/>
                                                          <w:divBdr>
                                                            <w:top w:val="single" w:sz="2" w:space="0" w:color="E5E7EB"/>
                                                            <w:left w:val="single" w:sz="2" w:space="0" w:color="E5E7EB"/>
                                                            <w:bottom w:val="single" w:sz="2" w:space="0" w:color="E5E7EB"/>
                                                            <w:right w:val="single" w:sz="2" w:space="0" w:color="E5E7EB"/>
                                                          </w:divBdr>
                                                          <w:divsChild>
                                                            <w:div w:id="992178543">
                                                              <w:marLeft w:val="0"/>
                                                              <w:marRight w:val="0"/>
                                                              <w:marTop w:val="0"/>
                                                              <w:marBottom w:val="0"/>
                                                              <w:divBdr>
                                                                <w:top w:val="single" w:sz="2" w:space="0" w:color="E5E7EB"/>
                                                                <w:left w:val="single" w:sz="2" w:space="0" w:color="E5E7EB"/>
                                                                <w:bottom w:val="single" w:sz="2" w:space="0" w:color="E5E7EB"/>
                                                                <w:right w:val="single" w:sz="2" w:space="0" w:color="E5E7EB"/>
                                                              </w:divBdr>
                                                              <w:divsChild>
                                                                <w:div w:id="2053066766">
                                                                  <w:marLeft w:val="0"/>
                                                                  <w:marRight w:val="0"/>
                                                                  <w:marTop w:val="0"/>
                                                                  <w:marBottom w:val="0"/>
                                                                  <w:divBdr>
                                                                    <w:top w:val="single" w:sz="2" w:space="0" w:color="E5E7EB"/>
                                                                    <w:left w:val="single" w:sz="2" w:space="0" w:color="E5E7EB"/>
                                                                    <w:bottom w:val="single" w:sz="2" w:space="0" w:color="E5E7EB"/>
                                                                    <w:right w:val="single" w:sz="2" w:space="0" w:color="E5E7EB"/>
                                                                  </w:divBdr>
                                                                  <w:divsChild>
                                                                    <w:div w:id="616791349">
                                                                      <w:marLeft w:val="0"/>
                                                                      <w:marRight w:val="0"/>
                                                                      <w:marTop w:val="0"/>
                                                                      <w:marBottom w:val="0"/>
                                                                      <w:divBdr>
                                                                        <w:top w:val="single" w:sz="2" w:space="0" w:color="E5E7EB"/>
                                                                        <w:left w:val="single" w:sz="2" w:space="0" w:color="E5E7EB"/>
                                                                        <w:bottom w:val="single" w:sz="2" w:space="0" w:color="E5E7EB"/>
                                                                        <w:right w:val="single" w:sz="2" w:space="0" w:color="E5E7EB"/>
                                                                      </w:divBdr>
                                                                      <w:divsChild>
                                                                        <w:div w:id="789979963">
                                                                          <w:marLeft w:val="0"/>
                                                                          <w:marRight w:val="0"/>
                                                                          <w:marTop w:val="0"/>
                                                                          <w:marBottom w:val="0"/>
                                                                          <w:divBdr>
                                                                            <w:top w:val="none" w:sz="0" w:space="0" w:color="auto"/>
                                                                            <w:left w:val="none" w:sz="0" w:space="0" w:color="auto"/>
                                                                            <w:bottom w:val="none" w:sz="0" w:space="0" w:color="auto"/>
                                                                            <w:right w:val="none" w:sz="0" w:space="0" w:color="auto"/>
                                                                          </w:divBdr>
                                                                          <w:divsChild>
                                                                            <w:div w:id="270549441">
                                                                              <w:marLeft w:val="0"/>
                                                                              <w:marRight w:val="0"/>
                                                                              <w:marTop w:val="0"/>
                                                                              <w:marBottom w:val="0"/>
                                                                              <w:divBdr>
                                                                                <w:top w:val="single" w:sz="2" w:space="0" w:color="E5E7EB"/>
                                                                                <w:left w:val="single" w:sz="2" w:space="0" w:color="E5E7EB"/>
                                                                                <w:bottom w:val="single" w:sz="2" w:space="0" w:color="E5E7EB"/>
                                                                                <w:right w:val="single" w:sz="2" w:space="0" w:color="E5E7EB"/>
                                                                              </w:divBdr>
                                                                              <w:divsChild>
                                                                                <w:div w:id="2026201992">
                                                                                  <w:marLeft w:val="0"/>
                                                                                  <w:marRight w:val="0"/>
                                                                                  <w:marTop w:val="0"/>
                                                                                  <w:marBottom w:val="0"/>
                                                                                  <w:divBdr>
                                                                                    <w:top w:val="single" w:sz="2" w:space="6" w:color="E5E7EB"/>
                                                                                    <w:left w:val="single" w:sz="2" w:space="6" w:color="E5E7EB"/>
                                                                                    <w:bottom w:val="single" w:sz="2" w:space="6" w:color="E5E7EB"/>
                                                                                    <w:right w:val="single" w:sz="2" w:space="6" w:color="E5E7EB"/>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00468139">
      <w:bodyDiv w:val="1"/>
      <w:marLeft w:val="0"/>
      <w:marRight w:val="0"/>
      <w:marTop w:val="0"/>
      <w:marBottom w:val="0"/>
      <w:divBdr>
        <w:top w:val="none" w:sz="0" w:space="0" w:color="auto"/>
        <w:left w:val="none" w:sz="0" w:space="0" w:color="auto"/>
        <w:bottom w:val="none" w:sz="0" w:space="0" w:color="auto"/>
        <w:right w:val="none" w:sz="0" w:space="0" w:color="auto"/>
      </w:divBdr>
      <w:divsChild>
        <w:div w:id="1207639441">
          <w:marLeft w:val="0"/>
          <w:marRight w:val="0"/>
          <w:marTop w:val="0"/>
          <w:marBottom w:val="0"/>
          <w:divBdr>
            <w:top w:val="none" w:sz="0" w:space="0" w:color="auto"/>
            <w:left w:val="none" w:sz="0" w:space="0" w:color="auto"/>
            <w:bottom w:val="none" w:sz="0" w:space="0" w:color="auto"/>
            <w:right w:val="none" w:sz="0" w:space="0" w:color="auto"/>
          </w:divBdr>
          <w:divsChild>
            <w:div w:id="1849053261">
              <w:marLeft w:val="0"/>
              <w:marRight w:val="0"/>
              <w:marTop w:val="0"/>
              <w:marBottom w:val="0"/>
              <w:divBdr>
                <w:top w:val="none" w:sz="0" w:space="0" w:color="auto"/>
                <w:left w:val="none" w:sz="0" w:space="0" w:color="auto"/>
                <w:bottom w:val="none" w:sz="0" w:space="0" w:color="auto"/>
                <w:right w:val="none" w:sz="0" w:space="0" w:color="auto"/>
              </w:divBdr>
              <w:divsChild>
                <w:div w:id="1280647727">
                  <w:marLeft w:val="0"/>
                  <w:marRight w:val="0"/>
                  <w:marTop w:val="0"/>
                  <w:marBottom w:val="0"/>
                  <w:divBdr>
                    <w:top w:val="none" w:sz="0" w:space="0" w:color="auto"/>
                    <w:left w:val="none" w:sz="0" w:space="0" w:color="auto"/>
                    <w:bottom w:val="none" w:sz="0" w:space="0" w:color="auto"/>
                    <w:right w:val="none" w:sz="0" w:space="0" w:color="auto"/>
                  </w:divBdr>
                  <w:divsChild>
                    <w:div w:id="1803301386">
                      <w:marLeft w:val="0"/>
                      <w:marRight w:val="0"/>
                      <w:marTop w:val="0"/>
                      <w:marBottom w:val="0"/>
                      <w:divBdr>
                        <w:top w:val="none" w:sz="0" w:space="0" w:color="auto"/>
                        <w:left w:val="none" w:sz="0" w:space="0" w:color="auto"/>
                        <w:bottom w:val="none" w:sz="0" w:space="0" w:color="auto"/>
                        <w:right w:val="none" w:sz="0" w:space="0" w:color="auto"/>
                      </w:divBdr>
                      <w:divsChild>
                        <w:div w:id="558713243">
                          <w:marLeft w:val="0"/>
                          <w:marRight w:val="0"/>
                          <w:marTop w:val="0"/>
                          <w:marBottom w:val="0"/>
                          <w:divBdr>
                            <w:top w:val="none" w:sz="0" w:space="0" w:color="auto"/>
                            <w:left w:val="none" w:sz="0" w:space="0" w:color="auto"/>
                            <w:bottom w:val="none" w:sz="0" w:space="0" w:color="auto"/>
                            <w:right w:val="none" w:sz="0" w:space="0" w:color="auto"/>
                          </w:divBdr>
                          <w:divsChild>
                            <w:div w:id="888804117">
                              <w:marLeft w:val="0"/>
                              <w:marRight w:val="0"/>
                              <w:marTop w:val="0"/>
                              <w:marBottom w:val="0"/>
                              <w:divBdr>
                                <w:top w:val="none" w:sz="0" w:space="0" w:color="auto"/>
                                <w:left w:val="none" w:sz="0" w:space="0" w:color="auto"/>
                                <w:bottom w:val="none" w:sz="0" w:space="0" w:color="auto"/>
                                <w:right w:val="none" w:sz="0" w:space="0" w:color="auto"/>
                              </w:divBdr>
                              <w:divsChild>
                                <w:div w:id="1789272498">
                                  <w:marLeft w:val="0"/>
                                  <w:marRight w:val="0"/>
                                  <w:marTop w:val="0"/>
                                  <w:marBottom w:val="0"/>
                                  <w:divBdr>
                                    <w:top w:val="none" w:sz="0" w:space="0" w:color="auto"/>
                                    <w:left w:val="none" w:sz="0" w:space="0" w:color="auto"/>
                                    <w:bottom w:val="none" w:sz="0" w:space="0" w:color="auto"/>
                                    <w:right w:val="none" w:sz="0" w:space="0" w:color="auto"/>
                                  </w:divBdr>
                                  <w:divsChild>
                                    <w:div w:id="563950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935952">
                          <w:marLeft w:val="0"/>
                          <w:marRight w:val="0"/>
                          <w:marTop w:val="0"/>
                          <w:marBottom w:val="0"/>
                          <w:divBdr>
                            <w:top w:val="none" w:sz="0" w:space="0" w:color="auto"/>
                            <w:left w:val="none" w:sz="0" w:space="0" w:color="auto"/>
                            <w:bottom w:val="none" w:sz="0" w:space="0" w:color="auto"/>
                            <w:right w:val="none" w:sz="0" w:space="0" w:color="auto"/>
                          </w:divBdr>
                          <w:divsChild>
                            <w:div w:id="908921427">
                              <w:marLeft w:val="0"/>
                              <w:marRight w:val="0"/>
                              <w:marTop w:val="0"/>
                              <w:marBottom w:val="0"/>
                              <w:divBdr>
                                <w:top w:val="none" w:sz="0" w:space="0" w:color="auto"/>
                                <w:left w:val="none" w:sz="0" w:space="0" w:color="auto"/>
                                <w:bottom w:val="none" w:sz="0" w:space="0" w:color="auto"/>
                                <w:right w:val="none" w:sz="0" w:space="0" w:color="auto"/>
                              </w:divBdr>
                              <w:divsChild>
                                <w:div w:id="127940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8606469">
      <w:bodyDiv w:val="1"/>
      <w:marLeft w:val="0"/>
      <w:marRight w:val="0"/>
      <w:marTop w:val="0"/>
      <w:marBottom w:val="0"/>
      <w:divBdr>
        <w:top w:val="none" w:sz="0" w:space="0" w:color="auto"/>
        <w:left w:val="none" w:sz="0" w:space="0" w:color="auto"/>
        <w:bottom w:val="none" w:sz="0" w:space="0" w:color="auto"/>
        <w:right w:val="none" w:sz="0" w:space="0" w:color="auto"/>
      </w:divBdr>
    </w:div>
    <w:div w:id="1710838896">
      <w:bodyDiv w:val="1"/>
      <w:marLeft w:val="0"/>
      <w:marRight w:val="0"/>
      <w:marTop w:val="0"/>
      <w:marBottom w:val="0"/>
      <w:divBdr>
        <w:top w:val="none" w:sz="0" w:space="0" w:color="auto"/>
        <w:left w:val="none" w:sz="0" w:space="0" w:color="auto"/>
        <w:bottom w:val="none" w:sz="0" w:space="0" w:color="auto"/>
        <w:right w:val="none" w:sz="0" w:space="0" w:color="auto"/>
      </w:divBdr>
    </w:div>
    <w:div w:id="2026706818">
      <w:bodyDiv w:val="1"/>
      <w:marLeft w:val="0"/>
      <w:marRight w:val="0"/>
      <w:marTop w:val="0"/>
      <w:marBottom w:val="0"/>
      <w:divBdr>
        <w:top w:val="none" w:sz="0" w:space="0" w:color="auto"/>
        <w:left w:val="none" w:sz="0" w:space="0" w:color="auto"/>
        <w:bottom w:val="none" w:sz="0" w:space="0" w:color="auto"/>
        <w:right w:val="none" w:sz="0" w:space="0" w:color="auto"/>
      </w:divBdr>
      <w:divsChild>
        <w:div w:id="298614200">
          <w:marLeft w:val="0"/>
          <w:marRight w:val="0"/>
          <w:marTop w:val="0"/>
          <w:marBottom w:val="0"/>
          <w:divBdr>
            <w:top w:val="none" w:sz="0" w:space="0" w:color="auto"/>
            <w:left w:val="none" w:sz="0" w:space="0" w:color="auto"/>
            <w:bottom w:val="none" w:sz="0" w:space="0" w:color="auto"/>
            <w:right w:val="none" w:sz="0" w:space="0" w:color="auto"/>
          </w:divBdr>
          <w:divsChild>
            <w:div w:id="538393675">
              <w:marLeft w:val="0"/>
              <w:marRight w:val="0"/>
              <w:marTop w:val="0"/>
              <w:marBottom w:val="0"/>
              <w:divBdr>
                <w:top w:val="none" w:sz="0" w:space="0" w:color="auto"/>
                <w:left w:val="none" w:sz="0" w:space="0" w:color="auto"/>
                <w:bottom w:val="none" w:sz="0" w:space="0" w:color="auto"/>
                <w:right w:val="none" w:sz="0" w:space="0" w:color="auto"/>
              </w:divBdr>
            </w:div>
          </w:divsChild>
        </w:div>
        <w:div w:id="5139995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06998772">
      <w:bodyDiv w:val="1"/>
      <w:marLeft w:val="0"/>
      <w:marRight w:val="0"/>
      <w:marTop w:val="0"/>
      <w:marBottom w:val="0"/>
      <w:divBdr>
        <w:top w:val="none" w:sz="0" w:space="0" w:color="auto"/>
        <w:left w:val="none" w:sz="0" w:space="0" w:color="auto"/>
        <w:bottom w:val="none" w:sz="0" w:space="0" w:color="auto"/>
        <w:right w:val="none" w:sz="0" w:space="0" w:color="auto"/>
      </w:divBdr>
    </w:div>
    <w:div w:id="2122718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3.pn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de0a4e778432520b/UTADEO/RESULTADO/tasas%20zomac.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'[tasas zomac.xlsx]Hoja1'!$D$113:$D$119</c:f>
              <c:strCache>
                <c:ptCount val="7"/>
                <c:pt idx="0">
                  <c:v>NON-ZOMAC</c:v>
                </c:pt>
                <c:pt idx="1">
                  <c:v>NON-PDET</c:v>
                </c:pt>
                <c:pt idx="2">
                  <c:v>WHITE AND MESTIZO</c:v>
                </c:pt>
                <c:pt idx="3">
                  <c:v>AFRO-COLOMBIAN</c:v>
                </c:pt>
                <c:pt idx="4">
                  <c:v>INDIGENOUS</c:v>
                </c:pt>
                <c:pt idx="5">
                  <c:v>PDET</c:v>
                </c:pt>
                <c:pt idx="6">
                  <c:v>ZOMAC</c:v>
                </c:pt>
              </c:strCache>
            </c:strRef>
          </c:cat>
          <c:val>
            <c:numRef>
              <c:f>'[tasas zomac.xlsx]Hoja1'!$E$113:$E$119</c:f>
              <c:numCache>
                <c:formatCode>0.00%</c:formatCode>
                <c:ptCount val="7"/>
                <c:pt idx="0">
                  <c:v>2.1700000000000001E-2</c:v>
                </c:pt>
                <c:pt idx="1">
                  <c:v>2.1999999999999999E-2</c:v>
                </c:pt>
                <c:pt idx="2">
                  <c:v>2.24E-2</c:v>
                </c:pt>
                <c:pt idx="3">
                  <c:v>2.58E-2</c:v>
                </c:pt>
                <c:pt idx="4">
                  <c:v>2.75E-2</c:v>
                </c:pt>
                <c:pt idx="5">
                  <c:v>3.2000000000000001E-2</c:v>
                </c:pt>
                <c:pt idx="6">
                  <c:v>3.61E-2</c:v>
                </c:pt>
              </c:numCache>
            </c:numRef>
          </c:val>
          <c:extLst>
            <c:ext xmlns:c16="http://schemas.microsoft.com/office/drawing/2014/chart" uri="{C3380CC4-5D6E-409C-BE32-E72D297353CC}">
              <c16:uniqueId val="{00000000-6882-4AFA-8C2F-C365F4B279B2}"/>
            </c:ext>
          </c:extLst>
        </c:ser>
        <c:dLbls>
          <c:showLegendKey val="0"/>
          <c:showVal val="0"/>
          <c:showCatName val="0"/>
          <c:showSerName val="0"/>
          <c:showPercent val="0"/>
          <c:showBubbleSize val="0"/>
        </c:dLbls>
        <c:gapWidth val="219"/>
        <c:overlap val="-27"/>
        <c:axId val="1766399344"/>
        <c:axId val="1766396944"/>
      </c:barChart>
      <c:catAx>
        <c:axId val="1766399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6396944"/>
        <c:crosses val="autoZero"/>
        <c:auto val="1"/>
        <c:lblAlgn val="ctr"/>
        <c:lblOffset val="100"/>
        <c:noMultiLvlLbl val="0"/>
      </c:catAx>
      <c:valAx>
        <c:axId val="176639694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639934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44E60B-4493-4AF5-97C6-B4CB3CA5E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112</Pages>
  <Words>72722</Words>
  <Characters>414521</Characters>
  <Application>Microsoft Office Word</Application>
  <DocSecurity>0</DocSecurity>
  <Lines>3454</Lines>
  <Paragraphs>972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486271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Inés Birchenall Jiménez</dc:creator>
  <cp:keywords/>
  <dc:description/>
  <cp:lastModifiedBy>PENTIUM</cp:lastModifiedBy>
  <cp:revision>2</cp:revision>
  <cp:lastPrinted>2025-10-14T21:27:00Z</cp:lastPrinted>
  <dcterms:created xsi:type="dcterms:W3CDTF">2026-06-03T00:59:00Z</dcterms:created>
  <dcterms:modified xsi:type="dcterms:W3CDTF">2026-06-03T00:59:00Z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14841a73-f514-412d-807f-c501aacfe10f</vt:lpwstr>
  </property>
  <property fmtid="{D5CDD505-2E9C-101B-9397-08002B2CF9AE}" pid="3" name="ZOTERO_PREF_1">
    <vt:lpwstr>&lt;data data-version="3" zotero-version="9.0.3"&gt;&lt;session id="dYMMeF46"/&gt;&lt;style id="http://www.zotero.org/styles/vancouver" locale="es-ES" hasBibliography="1" bibliographyStyleHasBeenSet="1"/&gt;&lt;prefs&gt;&lt;pref name="fieldType" value="Field"/&gt;&lt;pref name="automatic</vt:lpwstr>
  </property>
  <property fmtid="{D5CDD505-2E9C-101B-9397-08002B2CF9AE}" pid="4" name="ZOTERO_PREF_2">
    <vt:lpwstr>JournalAbbreviations" value="true"/&gt;&lt;pref name="delayCitationUpdates" value="true"/&gt;&lt;pref name="dontAskDelayCitationUpdates" value="true"/&gt;&lt;/prefs&gt;&lt;/data&gt;</vt:lpwstr>
  </property>
</Properties>
</file>